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4D3957AD" w14:textId="77777777" w:rsidTr="00D74AE1">
        <w:trPr>
          <w:trHeight w:hRule="exact" w:val="2948"/>
        </w:trPr>
        <w:tc>
          <w:tcPr>
            <w:tcW w:w="11185" w:type="dxa"/>
          </w:tcPr>
          <w:p w14:paraId="4D5B9393" w14:textId="77777777" w:rsidR="00974E99" w:rsidRPr="00F55AD7" w:rsidRDefault="00974E99" w:rsidP="00CB1D11">
            <w:pPr>
              <w:pStyle w:val="Documenttype"/>
              <w:suppressAutoHyphens/>
            </w:pPr>
            <w:r w:rsidRPr="00F55AD7">
              <w:t xml:space="preserve">IALA </w:t>
            </w:r>
            <w:r w:rsidR="0093492E" w:rsidRPr="00F55AD7">
              <w:t>G</w:t>
            </w:r>
            <w:r w:rsidR="00722236" w:rsidRPr="00F55AD7">
              <w:t>uideline</w:t>
            </w:r>
          </w:p>
        </w:tc>
      </w:tr>
    </w:tbl>
    <w:p w14:paraId="2BE5698E" w14:textId="77777777" w:rsidR="008972C3" w:rsidRPr="00F55AD7" w:rsidRDefault="008972C3" w:rsidP="00CB1D11">
      <w:pPr>
        <w:suppressAutoHyphens/>
      </w:pPr>
    </w:p>
    <w:p w14:paraId="1B0F4108" w14:textId="77777777" w:rsidR="00D74AE1" w:rsidRPr="00F55AD7" w:rsidRDefault="00D74AE1" w:rsidP="00CB1D11">
      <w:pPr>
        <w:suppressAutoHyphens/>
      </w:pPr>
    </w:p>
    <w:p w14:paraId="333E9E95" w14:textId="4E622623" w:rsidR="0093492E" w:rsidRPr="00F55AD7" w:rsidRDefault="002735DD" w:rsidP="00CB1D11">
      <w:pPr>
        <w:pStyle w:val="Documentnumber"/>
        <w:suppressAutoHyphens/>
      </w:pPr>
      <w:r>
        <w:t>G</w:t>
      </w:r>
      <w:r w:rsidR="005840E4">
        <w:t>1093</w:t>
      </w:r>
      <w:r w:rsidR="0074084C">
        <w:t xml:space="preserve"> </w:t>
      </w:r>
    </w:p>
    <w:p w14:paraId="04568955" w14:textId="50635188" w:rsidR="00776004" w:rsidRPr="00F55AD7" w:rsidRDefault="00437CA8" w:rsidP="0014597C">
      <w:pPr>
        <w:pStyle w:val="Documentname"/>
      </w:pPr>
      <w:r>
        <w:t xml:space="preserve">THE </w:t>
      </w:r>
      <w:r w:rsidR="0069533F">
        <w:rPr>
          <w:rFonts w:hint="eastAsia"/>
          <w:lang w:eastAsia="ko-KR"/>
        </w:rPr>
        <w:t xml:space="preserve">Management </w:t>
      </w:r>
      <w:r>
        <w:t xml:space="preserve">OF </w:t>
      </w:r>
      <w:r w:rsidR="0069533F">
        <w:rPr>
          <w:rFonts w:hint="eastAsia"/>
          <w:lang w:eastAsia="ko-KR"/>
        </w:rPr>
        <w:t>Transfer</w:t>
      </w:r>
      <w:r w:rsidR="00A65A1A">
        <w:rPr>
          <w:rFonts w:hint="eastAsia"/>
          <w:lang w:eastAsia="ko-KR"/>
        </w:rPr>
        <w:t xml:space="preserve"> of </w:t>
      </w:r>
      <w:r>
        <w:t>SURPLUS LIGHTHOUSE PROPERTY</w:t>
      </w:r>
    </w:p>
    <w:p w14:paraId="06DF3522" w14:textId="77777777" w:rsidR="00CF49CC" w:rsidRPr="00D740A5" w:rsidRDefault="00CF49CC" w:rsidP="00842B85">
      <w:pPr>
        <w:pStyle w:val="BodyText"/>
      </w:pPr>
    </w:p>
    <w:p w14:paraId="3C06161E" w14:textId="77777777" w:rsidR="004E0BBB" w:rsidRPr="00F55AD7" w:rsidRDefault="004E0BBB" w:rsidP="00CB1D11">
      <w:pPr>
        <w:suppressAutoHyphens/>
      </w:pPr>
    </w:p>
    <w:p w14:paraId="508B62A6" w14:textId="77777777" w:rsidR="004E0BBB" w:rsidRPr="00F55AD7" w:rsidRDefault="004E0BBB" w:rsidP="00CB1D11">
      <w:pPr>
        <w:suppressAutoHyphens/>
      </w:pPr>
    </w:p>
    <w:p w14:paraId="0E546DC6" w14:textId="77777777" w:rsidR="004E0BBB" w:rsidRPr="00F55AD7" w:rsidRDefault="004E0BBB" w:rsidP="00CB1D11">
      <w:pPr>
        <w:suppressAutoHyphens/>
      </w:pPr>
    </w:p>
    <w:p w14:paraId="5803F4E2" w14:textId="77777777" w:rsidR="004E0BBB" w:rsidRPr="00F55AD7" w:rsidRDefault="004E0BBB" w:rsidP="00CB1D11">
      <w:pPr>
        <w:suppressAutoHyphens/>
      </w:pPr>
    </w:p>
    <w:p w14:paraId="2AD66588" w14:textId="77777777" w:rsidR="004E0BBB" w:rsidRPr="00F55AD7" w:rsidRDefault="004E0BBB" w:rsidP="00201579">
      <w:pPr>
        <w:pStyle w:val="BodyText"/>
      </w:pPr>
    </w:p>
    <w:p w14:paraId="7E01EDAA" w14:textId="77777777" w:rsidR="004E0BBB" w:rsidRDefault="004E0BBB" w:rsidP="00CB1D11">
      <w:pPr>
        <w:suppressAutoHyphens/>
      </w:pPr>
    </w:p>
    <w:p w14:paraId="2B079C1A" w14:textId="77777777" w:rsidR="00A87080" w:rsidRDefault="00A87080" w:rsidP="00CB1D11">
      <w:pPr>
        <w:suppressAutoHyphens/>
      </w:pPr>
    </w:p>
    <w:p w14:paraId="5DFC6956" w14:textId="77777777" w:rsidR="00A87080" w:rsidRDefault="00A87080" w:rsidP="00CB1D11">
      <w:pPr>
        <w:suppressAutoHyphens/>
      </w:pPr>
    </w:p>
    <w:p w14:paraId="3761E48E" w14:textId="77777777" w:rsidR="00A87080" w:rsidRDefault="00593EFC" w:rsidP="00CB1D11">
      <w:pPr>
        <w:tabs>
          <w:tab w:val="left" w:pos="6240"/>
        </w:tabs>
        <w:suppressAutoHyphens/>
      </w:pPr>
      <w:r>
        <w:tab/>
      </w:r>
    </w:p>
    <w:p w14:paraId="4189ED09" w14:textId="77777777" w:rsidR="00A87080" w:rsidRDefault="00A87080" w:rsidP="00CB1D11">
      <w:pPr>
        <w:suppressAutoHyphens/>
      </w:pPr>
    </w:p>
    <w:p w14:paraId="635736C1" w14:textId="77777777" w:rsidR="00A87080" w:rsidRDefault="00A87080" w:rsidP="00CB1D11">
      <w:pPr>
        <w:suppressAutoHyphens/>
      </w:pPr>
    </w:p>
    <w:p w14:paraId="23DC64B4" w14:textId="77777777" w:rsidR="00A87080" w:rsidRDefault="00A87080" w:rsidP="00CB1D11">
      <w:pPr>
        <w:suppressAutoHyphens/>
      </w:pPr>
    </w:p>
    <w:p w14:paraId="59101805" w14:textId="77777777" w:rsidR="00A87080" w:rsidRDefault="00A87080" w:rsidP="00CB1D11">
      <w:pPr>
        <w:suppressAutoHyphens/>
      </w:pPr>
    </w:p>
    <w:p w14:paraId="59764E5B" w14:textId="77777777" w:rsidR="00A87080" w:rsidRDefault="00A87080" w:rsidP="00CB1D11">
      <w:pPr>
        <w:suppressAutoHyphens/>
      </w:pPr>
    </w:p>
    <w:p w14:paraId="2AA8F165" w14:textId="77777777" w:rsidR="00A87080" w:rsidRDefault="00A87080" w:rsidP="00CB1D11">
      <w:pPr>
        <w:suppressAutoHyphens/>
      </w:pPr>
    </w:p>
    <w:p w14:paraId="2E417E98" w14:textId="77777777" w:rsidR="00A87080" w:rsidRDefault="00A87080" w:rsidP="00CB1D11">
      <w:pPr>
        <w:suppressAutoHyphens/>
      </w:pPr>
    </w:p>
    <w:p w14:paraId="21A24AF6" w14:textId="77777777" w:rsidR="00A87080" w:rsidRPr="00AE5551" w:rsidRDefault="00A87080" w:rsidP="00CB1D11">
      <w:pPr>
        <w:suppressAutoHyphens/>
      </w:pPr>
    </w:p>
    <w:p w14:paraId="6A228C9E" w14:textId="77777777" w:rsidR="004E0BBB" w:rsidRPr="00F55AD7" w:rsidRDefault="004E0BBB" w:rsidP="00CB1D11">
      <w:pPr>
        <w:suppressAutoHyphens/>
      </w:pPr>
    </w:p>
    <w:p w14:paraId="4A796DA7" w14:textId="77777777" w:rsidR="004E0BBB" w:rsidRPr="00F55AD7" w:rsidRDefault="004E0BBB" w:rsidP="00CB1D11">
      <w:pPr>
        <w:suppressAutoHyphens/>
      </w:pPr>
    </w:p>
    <w:p w14:paraId="2F707ADB" w14:textId="77777777" w:rsidR="000E0EC6" w:rsidRDefault="000E0EC6" w:rsidP="00CB1D11">
      <w:pPr>
        <w:suppressAutoHyphens/>
      </w:pPr>
    </w:p>
    <w:p w14:paraId="0925FF93" w14:textId="77777777" w:rsidR="00925B39" w:rsidRDefault="00925B39" w:rsidP="00CB1D11">
      <w:pPr>
        <w:suppressAutoHyphens/>
      </w:pPr>
    </w:p>
    <w:p w14:paraId="11CA5FFB" w14:textId="77777777" w:rsidR="004E0BBB" w:rsidRPr="00F55AD7" w:rsidRDefault="002735DD" w:rsidP="00CB1D11">
      <w:pPr>
        <w:pStyle w:val="Editionnumber"/>
        <w:suppressAutoHyphens/>
      </w:pPr>
      <w:r>
        <w:t xml:space="preserve">Edition </w:t>
      </w:r>
      <w:proofErr w:type="spellStart"/>
      <w:r>
        <w:t>x.x</w:t>
      </w:r>
      <w:proofErr w:type="spellEnd"/>
    </w:p>
    <w:p w14:paraId="1BD0CECB" w14:textId="77777777" w:rsidR="004E0BBB" w:rsidRDefault="002735DD" w:rsidP="00CB1D11">
      <w:pPr>
        <w:pStyle w:val="Documentdate"/>
        <w:suppressAutoHyphens/>
      </w:pPr>
      <w:r>
        <w:t>Date (of approval by Council)</w:t>
      </w:r>
    </w:p>
    <w:p w14:paraId="3499F479" w14:textId="77777777" w:rsidR="00BC27F6" w:rsidRDefault="00BC27F6" w:rsidP="00CB1D11">
      <w:pPr>
        <w:suppressAutoHyphens/>
      </w:pPr>
    </w:p>
    <w:p w14:paraId="11449EAD" w14:textId="77777777" w:rsidR="000E0EC6" w:rsidRPr="000870E9" w:rsidRDefault="00F404B9" w:rsidP="00CB1D11">
      <w:pPr>
        <w:pStyle w:val="MRN"/>
        <w:suppressAutoHyphens/>
        <w:rPr>
          <w:lang w:val="sv-SE"/>
        </w:rPr>
        <w:sectPr w:rsidR="000E0EC6" w:rsidRPr="000870E9" w:rsidSect="00D15F11">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4" w:left="1276" w:header="567" w:footer="760" w:gutter="0"/>
          <w:cols w:space="708"/>
          <w:docGrid w:linePitch="360"/>
        </w:sectPr>
      </w:pPr>
      <w:r w:rsidRPr="000870E9">
        <w:rPr>
          <w:lang w:val="sv-SE"/>
        </w:rPr>
        <w:lastRenderedPageBreak/>
        <w:t>urn:mrn:iala:pub:gnnnn</w:t>
      </w:r>
    </w:p>
    <w:p w14:paraId="108808B9" w14:textId="77777777" w:rsidR="00914E26" w:rsidRPr="00F55AD7" w:rsidRDefault="00914E26" w:rsidP="00CB1D11">
      <w:pPr>
        <w:pStyle w:val="BodyText"/>
        <w:suppressAutoHyphens/>
      </w:pPr>
      <w:r w:rsidRPr="00F23723">
        <w:lastRenderedPageBreak/>
        <w:t>Revisions</w:t>
      </w:r>
      <w:r w:rsidRPr="00F55AD7">
        <w:t xml:space="preserve">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F55AD7" w14:paraId="69E7C944" w14:textId="77777777" w:rsidTr="00F404B9">
        <w:tc>
          <w:tcPr>
            <w:tcW w:w="1908" w:type="dxa"/>
          </w:tcPr>
          <w:p w14:paraId="4DC36BAF" w14:textId="77777777" w:rsidR="00914E26" w:rsidRPr="00F55AD7" w:rsidRDefault="00914E26" w:rsidP="00CB1D11">
            <w:pPr>
              <w:pStyle w:val="Documentrevisiontabletitle"/>
              <w:suppressAutoHyphens/>
            </w:pPr>
            <w:r w:rsidRPr="00F55AD7">
              <w:t>Date</w:t>
            </w:r>
          </w:p>
        </w:tc>
        <w:tc>
          <w:tcPr>
            <w:tcW w:w="6025" w:type="dxa"/>
          </w:tcPr>
          <w:p w14:paraId="5D07078B" w14:textId="77777777" w:rsidR="00914E26" w:rsidRPr="00F55AD7" w:rsidRDefault="00F404B9" w:rsidP="00CB1D11">
            <w:pPr>
              <w:pStyle w:val="Documentrevisiontabletitle"/>
              <w:suppressAutoHyphens/>
            </w:pPr>
            <w:r>
              <w:t>Details</w:t>
            </w:r>
          </w:p>
        </w:tc>
        <w:tc>
          <w:tcPr>
            <w:tcW w:w="2552" w:type="dxa"/>
          </w:tcPr>
          <w:p w14:paraId="71B939B5" w14:textId="77777777" w:rsidR="00914E26" w:rsidRPr="00F55AD7" w:rsidRDefault="00F404B9" w:rsidP="00CB1D11">
            <w:pPr>
              <w:pStyle w:val="Documentrevisiontabletitle"/>
              <w:suppressAutoHyphens/>
            </w:pPr>
            <w:r>
              <w:t>Approval</w:t>
            </w:r>
          </w:p>
        </w:tc>
      </w:tr>
      <w:tr w:rsidR="005E4659" w:rsidRPr="00F55AD7" w14:paraId="67B69019" w14:textId="77777777" w:rsidTr="00F404B9">
        <w:trPr>
          <w:trHeight w:val="851"/>
        </w:trPr>
        <w:tc>
          <w:tcPr>
            <w:tcW w:w="1908" w:type="dxa"/>
            <w:vAlign w:val="center"/>
          </w:tcPr>
          <w:p w14:paraId="7C2120EC" w14:textId="4C83C215" w:rsidR="00914E26" w:rsidRPr="00CB7D0F" w:rsidRDefault="00CB22B8" w:rsidP="00CB1D11">
            <w:pPr>
              <w:pStyle w:val="Tabletext"/>
              <w:suppressAutoHyphens/>
            </w:pPr>
            <w:r>
              <w:t>10/04/2025</w:t>
            </w:r>
          </w:p>
        </w:tc>
        <w:tc>
          <w:tcPr>
            <w:tcW w:w="6025" w:type="dxa"/>
            <w:vAlign w:val="center"/>
          </w:tcPr>
          <w:p w14:paraId="1DF8FB2B" w14:textId="09A5EFDC" w:rsidR="00520844" w:rsidRPr="00CB7D0F" w:rsidRDefault="00520844" w:rsidP="004F44EF">
            <w:pPr>
              <w:pStyle w:val="Tabletext"/>
              <w:suppressAutoHyphens/>
            </w:pPr>
            <w:r>
              <w:t xml:space="preserve">Major revision to scope and outline of document. </w:t>
            </w:r>
          </w:p>
        </w:tc>
        <w:tc>
          <w:tcPr>
            <w:tcW w:w="2552" w:type="dxa"/>
            <w:vAlign w:val="center"/>
          </w:tcPr>
          <w:p w14:paraId="73C856CB" w14:textId="77777777" w:rsidR="00914E26" w:rsidRPr="00CB7D0F" w:rsidRDefault="00914E26" w:rsidP="00CB1D11">
            <w:pPr>
              <w:pStyle w:val="Tabletext"/>
              <w:suppressAutoHyphens/>
            </w:pPr>
          </w:p>
        </w:tc>
      </w:tr>
      <w:tr w:rsidR="005E4659" w:rsidRPr="00F55AD7" w14:paraId="628C352F" w14:textId="77777777" w:rsidTr="00F404B9">
        <w:trPr>
          <w:trHeight w:val="851"/>
        </w:trPr>
        <w:tc>
          <w:tcPr>
            <w:tcW w:w="1908" w:type="dxa"/>
            <w:vAlign w:val="center"/>
          </w:tcPr>
          <w:p w14:paraId="61C2EDB7" w14:textId="77777777" w:rsidR="00914E26" w:rsidRPr="00CB7D0F" w:rsidRDefault="00914E26" w:rsidP="00CB1D11">
            <w:pPr>
              <w:pStyle w:val="Tabletext"/>
              <w:suppressAutoHyphens/>
            </w:pPr>
          </w:p>
        </w:tc>
        <w:tc>
          <w:tcPr>
            <w:tcW w:w="6025" w:type="dxa"/>
            <w:vAlign w:val="center"/>
          </w:tcPr>
          <w:p w14:paraId="0E266F22" w14:textId="77777777" w:rsidR="00914E26" w:rsidRPr="00CB7D0F" w:rsidRDefault="00914E26" w:rsidP="00CB1D11">
            <w:pPr>
              <w:pStyle w:val="Tabletext"/>
              <w:suppressAutoHyphens/>
            </w:pPr>
          </w:p>
        </w:tc>
        <w:tc>
          <w:tcPr>
            <w:tcW w:w="2552" w:type="dxa"/>
            <w:vAlign w:val="center"/>
          </w:tcPr>
          <w:p w14:paraId="7382232C" w14:textId="77777777" w:rsidR="00914E26" w:rsidRPr="00CB7D0F" w:rsidRDefault="00914E26" w:rsidP="00CB1D11">
            <w:pPr>
              <w:pStyle w:val="Tabletext"/>
              <w:suppressAutoHyphens/>
            </w:pPr>
          </w:p>
        </w:tc>
      </w:tr>
      <w:tr w:rsidR="005E4659" w:rsidRPr="00F55AD7" w14:paraId="0AB957D9" w14:textId="77777777" w:rsidTr="00F404B9">
        <w:trPr>
          <w:trHeight w:val="851"/>
        </w:trPr>
        <w:tc>
          <w:tcPr>
            <w:tcW w:w="1908" w:type="dxa"/>
            <w:vAlign w:val="center"/>
          </w:tcPr>
          <w:p w14:paraId="37E142FC" w14:textId="77777777" w:rsidR="00914E26" w:rsidRPr="00CB7D0F" w:rsidRDefault="00914E26" w:rsidP="00CB1D11">
            <w:pPr>
              <w:pStyle w:val="Tabletext"/>
              <w:suppressAutoHyphens/>
            </w:pPr>
          </w:p>
        </w:tc>
        <w:tc>
          <w:tcPr>
            <w:tcW w:w="6025" w:type="dxa"/>
            <w:vAlign w:val="center"/>
          </w:tcPr>
          <w:p w14:paraId="57D3A180" w14:textId="77777777" w:rsidR="00914E26" w:rsidRPr="00CB7D0F" w:rsidRDefault="00914E26" w:rsidP="00CB1D11">
            <w:pPr>
              <w:pStyle w:val="Tabletext"/>
              <w:suppressAutoHyphens/>
            </w:pPr>
          </w:p>
        </w:tc>
        <w:tc>
          <w:tcPr>
            <w:tcW w:w="2552" w:type="dxa"/>
            <w:vAlign w:val="center"/>
          </w:tcPr>
          <w:p w14:paraId="6CE7912D" w14:textId="77777777" w:rsidR="00914E26" w:rsidRPr="00CB7D0F" w:rsidRDefault="00914E26" w:rsidP="00CB1D11">
            <w:pPr>
              <w:pStyle w:val="Tabletext"/>
              <w:suppressAutoHyphens/>
            </w:pPr>
          </w:p>
        </w:tc>
      </w:tr>
      <w:tr w:rsidR="005E4659" w:rsidRPr="00F55AD7" w14:paraId="1CDD95C5" w14:textId="77777777" w:rsidTr="00F404B9">
        <w:trPr>
          <w:trHeight w:val="851"/>
        </w:trPr>
        <w:tc>
          <w:tcPr>
            <w:tcW w:w="1908" w:type="dxa"/>
            <w:vAlign w:val="center"/>
          </w:tcPr>
          <w:p w14:paraId="036BD3E9" w14:textId="77777777" w:rsidR="00914E26" w:rsidRPr="00CB7D0F" w:rsidRDefault="00914E26" w:rsidP="00CB1D11">
            <w:pPr>
              <w:pStyle w:val="Tabletext"/>
              <w:suppressAutoHyphens/>
            </w:pPr>
          </w:p>
        </w:tc>
        <w:tc>
          <w:tcPr>
            <w:tcW w:w="6025" w:type="dxa"/>
            <w:vAlign w:val="center"/>
          </w:tcPr>
          <w:p w14:paraId="5AAD4E56" w14:textId="77777777" w:rsidR="00914E26" w:rsidRPr="00CB7D0F" w:rsidRDefault="00914E26" w:rsidP="00CB1D11">
            <w:pPr>
              <w:pStyle w:val="Tabletext"/>
              <w:suppressAutoHyphens/>
            </w:pPr>
          </w:p>
        </w:tc>
        <w:tc>
          <w:tcPr>
            <w:tcW w:w="2552" w:type="dxa"/>
            <w:vAlign w:val="center"/>
          </w:tcPr>
          <w:p w14:paraId="45A31807" w14:textId="77777777" w:rsidR="00914E26" w:rsidRPr="00CB7D0F" w:rsidRDefault="00914E26" w:rsidP="00CB1D11">
            <w:pPr>
              <w:pStyle w:val="Tabletext"/>
              <w:suppressAutoHyphens/>
            </w:pPr>
          </w:p>
        </w:tc>
      </w:tr>
      <w:tr w:rsidR="005E4659" w:rsidRPr="00F55AD7" w14:paraId="0F010B04" w14:textId="77777777" w:rsidTr="00F404B9">
        <w:trPr>
          <w:trHeight w:val="851"/>
        </w:trPr>
        <w:tc>
          <w:tcPr>
            <w:tcW w:w="1908" w:type="dxa"/>
            <w:vAlign w:val="center"/>
          </w:tcPr>
          <w:p w14:paraId="7BC75624" w14:textId="77777777" w:rsidR="00914E26" w:rsidRPr="00CB7D0F" w:rsidRDefault="00914E26" w:rsidP="00CB1D11">
            <w:pPr>
              <w:pStyle w:val="Tabletext"/>
              <w:suppressAutoHyphens/>
            </w:pPr>
          </w:p>
        </w:tc>
        <w:tc>
          <w:tcPr>
            <w:tcW w:w="6025" w:type="dxa"/>
            <w:vAlign w:val="center"/>
          </w:tcPr>
          <w:p w14:paraId="2940B065" w14:textId="77777777" w:rsidR="00914E26" w:rsidRPr="00CB7D0F" w:rsidRDefault="00914E26" w:rsidP="00CB1D11">
            <w:pPr>
              <w:pStyle w:val="Tabletext"/>
              <w:suppressAutoHyphens/>
            </w:pPr>
          </w:p>
        </w:tc>
        <w:tc>
          <w:tcPr>
            <w:tcW w:w="2552" w:type="dxa"/>
            <w:vAlign w:val="center"/>
          </w:tcPr>
          <w:p w14:paraId="31BBDC59" w14:textId="77777777" w:rsidR="00914E26" w:rsidRPr="00CB7D0F" w:rsidRDefault="00914E26" w:rsidP="00CB1D11">
            <w:pPr>
              <w:pStyle w:val="Tabletext"/>
              <w:suppressAutoHyphens/>
            </w:pPr>
          </w:p>
        </w:tc>
      </w:tr>
      <w:tr w:rsidR="005E4659" w:rsidRPr="00F55AD7" w14:paraId="20315B1F" w14:textId="77777777" w:rsidTr="00F404B9">
        <w:trPr>
          <w:trHeight w:val="851"/>
        </w:trPr>
        <w:tc>
          <w:tcPr>
            <w:tcW w:w="1908" w:type="dxa"/>
            <w:vAlign w:val="center"/>
          </w:tcPr>
          <w:p w14:paraId="36105346" w14:textId="77777777" w:rsidR="00914E26" w:rsidRPr="00CB7D0F" w:rsidRDefault="00914E26" w:rsidP="00CB1D11">
            <w:pPr>
              <w:pStyle w:val="Tabletext"/>
              <w:suppressAutoHyphens/>
            </w:pPr>
          </w:p>
        </w:tc>
        <w:tc>
          <w:tcPr>
            <w:tcW w:w="6025" w:type="dxa"/>
            <w:vAlign w:val="center"/>
          </w:tcPr>
          <w:p w14:paraId="2B576E76" w14:textId="77777777" w:rsidR="00914E26" w:rsidRPr="00CB7D0F" w:rsidRDefault="00914E26" w:rsidP="00CB1D11">
            <w:pPr>
              <w:pStyle w:val="Tabletext"/>
              <w:suppressAutoHyphens/>
            </w:pPr>
          </w:p>
        </w:tc>
        <w:tc>
          <w:tcPr>
            <w:tcW w:w="2552" w:type="dxa"/>
            <w:vAlign w:val="center"/>
          </w:tcPr>
          <w:p w14:paraId="54356A06" w14:textId="77777777" w:rsidR="00914E26" w:rsidRPr="00CB7D0F" w:rsidRDefault="00914E26" w:rsidP="00CB1D11">
            <w:pPr>
              <w:pStyle w:val="Tabletext"/>
              <w:suppressAutoHyphens/>
            </w:pPr>
          </w:p>
        </w:tc>
      </w:tr>
      <w:tr w:rsidR="005E4659" w:rsidRPr="00F55AD7" w14:paraId="21B50C65" w14:textId="77777777" w:rsidTr="00F404B9">
        <w:trPr>
          <w:trHeight w:val="851"/>
        </w:trPr>
        <w:tc>
          <w:tcPr>
            <w:tcW w:w="1908" w:type="dxa"/>
            <w:vAlign w:val="center"/>
          </w:tcPr>
          <w:p w14:paraId="2081802B" w14:textId="77777777" w:rsidR="00914E26" w:rsidRPr="00CB7D0F" w:rsidRDefault="00914E26" w:rsidP="00CB1D11">
            <w:pPr>
              <w:pStyle w:val="Tabletext"/>
              <w:suppressAutoHyphens/>
            </w:pPr>
          </w:p>
        </w:tc>
        <w:tc>
          <w:tcPr>
            <w:tcW w:w="6025" w:type="dxa"/>
            <w:vAlign w:val="center"/>
          </w:tcPr>
          <w:p w14:paraId="231EA52D" w14:textId="77777777" w:rsidR="00914E26" w:rsidRPr="00CB7D0F" w:rsidRDefault="00914E26" w:rsidP="00CB1D11">
            <w:pPr>
              <w:pStyle w:val="Tabletext"/>
              <w:suppressAutoHyphens/>
            </w:pPr>
          </w:p>
        </w:tc>
        <w:tc>
          <w:tcPr>
            <w:tcW w:w="2552" w:type="dxa"/>
            <w:vAlign w:val="center"/>
          </w:tcPr>
          <w:p w14:paraId="69B3619F" w14:textId="77777777" w:rsidR="00914E26" w:rsidRPr="00CB7D0F" w:rsidRDefault="00914E26" w:rsidP="00CB1D11">
            <w:pPr>
              <w:pStyle w:val="Tabletext"/>
              <w:suppressAutoHyphens/>
            </w:pPr>
          </w:p>
        </w:tc>
      </w:tr>
    </w:tbl>
    <w:p w14:paraId="39A94D4B" w14:textId="77777777" w:rsidR="00914E26" w:rsidRPr="00F55AD7" w:rsidRDefault="00914E26" w:rsidP="00CB1D11">
      <w:pPr>
        <w:suppressAutoHyphens/>
      </w:pPr>
    </w:p>
    <w:p w14:paraId="2F06FE7A" w14:textId="77777777" w:rsidR="005E4659" w:rsidRPr="00F55AD7" w:rsidRDefault="005E4659" w:rsidP="00CB1D11">
      <w:pPr>
        <w:pStyle w:val="BodyText"/>
        <w:suppressAutoHyphens/>
        <w:sectPr w:rsidR="005E4659" w:rsidRPr="00F55AD7" w:rsidSect="00D15F11">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55841537" w14:textId="352FE58E" w:rsidR="00257D88" w:rsidRDefault="000C2857">
      <w:pPr>
        <w:pStyle w:val="TOC1"/>
        <w:rPr>
          <w:b w:val="0"/>
          <w:caps w:val="0"/>
          <w:color w:val="auto"/>
          <w:kern w:val="2"/>
          <w:szCs w:val="24"/>
          <w:lang w:val="en-US" w:eastAsia="ko-KR"/>
          <w14:ligatures w14:val="standardContextual"/>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 title (Head 1),1,Appendix title (Head 1),1" </w:instrText>
      </w:r>
      <w:r>
        <w:rPr>
          <w:rFonts w:eastAsia="Times New Roman" w:cs="Times New Roman"/>
          <w:b w:val="0"/>
          <w:szCs w:val="20"/>
        </w:rPr>
        <w:fldChar w:fldCharType="separate"/>
      </w:r>
      <w:r w:rsidR="00257D88" w:rsidRPr="004920BE">
        <w:t>1.</w:t>
      </w:r>
      <w:r w:rsidR="00257D88">
        <w:rPr>
          <w:b w:val="0"/>
          <w:caps w:val="0"/>
          <w:color w:val="auto"/>
          <w:kern w:val="2"/>
          <w:szCs w:val="24"/>
          <w:lang w:val="en-US" w:eastAsia="ko-KR"/>
          <w14:ligatures w14:val="standardContextual"/>
        </w:rPr>
        <w:tab/>
      </w:r>
      <w:r w:rsidR="00257D88">
        <w:t>INTRODUCTION</w:t>
      </w:r>
      <w:r w:rsidR="00257D88">
        <w:tab/>
      </w:r>
      <w:r w:rsidR="00257D88">
        <w:fldChar w:fldCharType="begin"/>
      </w:r>
      <w:r w:rsidR="00257D88">
        <w:instrText xml:space="preserve"> PAGEREF _Toc195121590 \h </w:instrText>
      </w:r>
      <w:r w:rsidR="00257D88">
        <w:fldChar w:fldCharType="separate"/>
      </w:r>
      <w:r w:rsidR="00257D88">
        <w:t>5</w:t>
      </w:r>
      <w:r w:rsidR="00257D88">
        <w:fldChar w:fldCharType="end"/>
      </w:r>
    </w:p>
    <w:p w14:paraId="472EC4BC" w14:textId="62DB8A52" w:rsidR="00257D88" w:rsidRDefault="00257D88">
      <w:pPr>
        <w:pStyle w:val="TOC1"/>
        <w:rPr>
          <w:b w:val="0"/>
          <w:caps w:val="0"/>
          <w:color w:val="auto"/>
          <w:kern w:val="2"/>
          <w:szCs w:val="24"/>
          <w:lang w:val="en-US" w:eastAsia="ko-KR"/>
          <w14:ligatures w14:val="standardContextual"/>
        </w:rPr>
      </w:pPr>
      <w:r w:rsidRPr="004920BE">
        <w:rPr>
          <w:lang w:eastAsia="ko-KR"/>
        </w:rPr>
        <w:t>2.</w:t>
      </w:r>
      <w:r>
        <w:rPr>
          <w:b w:val="0"/>
          <w:caps w:val="0"/>
          <w:color w:val="auto"/>
          <w:kern w:val="2"/>
          <w:szCs w:val="24"/>
          <w:lang w:val="en-US" w:eastAsia="ko-KR"/>
          <w14:ligatures w14:val="standardContextual"/>
        </w:rPr>
        <w:tab/>
      </w:r>
      <w:r>
        <w:rPr>
          <w:lang w:eastAsia="ko-KR"/>
        </w:rPr>
        <w:t>SCOPE</w:t>
      </w:r>
      <w:r>
        <w:tab/>
      </w:r>
      <w:r>
        <w:fldChar w:fldCharType="begin"/>
      </w:r>
      <w:r>
        <w:instrText xml:space="preserve"> PAGEREF _Toc195121591 \h </w:instrText>
      </w:r>
      <w:r>
        <w:fldChar w:fldCharType="separate"/>
      </w:r>
      <w:r>
        <w:t>5</w:t>
      </w:r>
      <w:r>
        <w:fldChar w:fldCharType="end"/>
      </w:r>
    </w:p>
    <w:p w14:paraId="683E38DC" w14:textId="4B25BA81" w:rsidR="00257D88" w:rsidRDefault="00257D88">
      <w:pPr>
        <w:pStyle w:val="TOC1"/>
        <w:rPr>
          <w:b w:val="0"/>
          <w:caps w:val="0"/>
          <w:color w:val="auto"/>
          <w:kern w:val="2"/>
          <w:szCs w:val="24"/>
          <w:lang w:val="en-US" w:eastAsia="ko-KR"/>
          <w14:ligatures w14:val="standardContextual"/>
        </w:rPr>
      </w:pPr>
      <w:r w:rsidRPr="004920BE">
        <w:t>3.</w:t>
      </w:r>
      <w:r>
        <w:rPr>
          <w:b w:val="0"/>
          <w:caps w:val="0"/>
          <w:color w:val="auto"/>
          <w:kern w:val="2"/>
          <w:szCs w:val="24"/>
          <w:lang w:val="en-US" w:eastAsia="ko-KR"/>
          <w14:ligatures w14:val="standardContextual"/>
        </w:rPr>
        <w:tab/>
      </w:r>
      <w:r>
        <w:t>Consi</w:t>
      </w:r>
      <w:r>
        <w:rPr>
          <w:lang w:eastAsia="ko-KR"/>
        </w:rPr>
        <w:t>derations for Property Transfer</w:t>
      </w:r>
      <w:r>
        <w:tab/>
      </w:r>
      <w:r>
        <w:fldChar w:fldCharType="begin"/>
      </w:r>
      <w:r>
        <w:instrText xml:space="preserve"> PAGEREF _Toc195121592 \h </w:instrText>
      </w:r>
      <w:r>
        <w:fldChar w:fldCharType="separate"/>
      </w:r>
      <w:r>
        <w:t>5</w:t>
      </w:r>
      <w:r>
        <w:fldChar w:fldCharType="end"/>
      </w:r>
    </w:p>
    <w:p w14:paraId="36184496" w14:textId="448EDB42" w:rsidR="00257D88" w:rsidRDefault="00257D88">
      <w:pPr>
        <w:pStyle w:val="TOC2"/>
        <w:rPr>
          <w:color w:val="auto"/>
          <w:kern w:val="2"/>
          <w:szCs w:val="24"/>
          <w:lang w:val="en-US" w:eastAsia="ko-KR"/>
          <w14:ligatures w14:val="standardContextual"/>
        </w:rPr>
      </w:pPr>
      <w:r w:rsidRPr="004920BE">
        <w:rPr>
          <w:lang w:eastAsia="ko-KR"/>
        </w:rPr>
        <w:t>3.1.</w:t>
      </w:r>
      <w:r>
        <w:rPr>
          <w:color w:val="auto"/>
          <w:kern w:val="2"/>
          <w:szCs w:val="24"/>
          <w:lang w:val="en-US" w:eastAsia="ko-KR"/>
          <w14:ligatures w14:val="standardContextual"/>
        </w:rPr>
        <w:tab/>
      </w:r>
      <w:r>
        <w:rPr>
          <w:lang w:eastAsia="ko-KR"/>
        </w:rPr>
        <w:t>Choosing appropriate prospective owners</w:t>
      </w:r>
      <w:r>
        <w:tab/>
      </w:r>
      <w:r>
        <w:fldChar w:fldCharType="begin"/>
      </w:r>
      <w:r>
        <w:instrText xml:space="preserve"> PAGEREF _Toc195121593 \h </w:instrText>
      </w:r>
      <w:r>
        <w:fldChar w:fldCharType="separate"/>
      </w:r>
      <w:r>
        <w:t>5</w:t>
      </w:r>
      <w:r>
        <w:fldChar w:fldCharType="end"/>
      </w:r>
    </w:p>
    <w:p w14:paraId="5C0C0136" w14:textId="41657135" w:rsidR="00257D88" w:rsidRDefault="00257D88">
      <w:pPr>
        <w:pStyle w:val="TOC2"/>
        <w:rPr>
          <w:color w:val="auto"/>
          <w:kern w:val="2"/>
          <w:szCs w:val="24"/>
          <w:lang w:val="en-US" w:eastAsia="ko-KR"/>
          <w14:ligatures w14:val="standardContextual"/>
        </w:rPr>
      </w:pPr>
      <w:r w:rsidRPr="004920BE">
        <w:rPr>
          <w:lang w:eastAsia="ko-KR"/>
        </w:rPr>
        <w:t>3.2.</w:t>
      </w:r>
      <w:r>
        <w:rPr>
          <w:color w:val="auto"/>
          <w:kern w:val="2"/>
          <w:szCs w:val="24"/>
          <w:lang w:val="en-US" w:eastAsia="ko-KR"/>
          <w14:ligatures w14:val="standardContextual"/>
        </w:rPr>
        <w:tab/>
      </w:r>
      <w:r>
        <w:rPr>
          <w:lang w:eastAsia="ko-KR"/>
        </w:rPr>
        <w:t xml:space="preserve">Continuity of AtoN </w:t>
      </w:r>
      <w:r w:rsidR="00EA6DEE">
        <w:rPr>
          <w:lang w:eastAsia="ko-KR"/>
        </w:rPr>
        <w:t>Operations</w:t>
      </w:r>
      <w:r>
        <w:tab/>
      </w:r>
      <w:r>
        <w:fldChar w:fldCharType="begin"/>
      </w:r>
      <w:r>
        <w:instrText xml:space="preserve"> PAGEREF _Toc195121594 \h </w:instrText>
      </w:r>
      <w:r>
        <w:fldChar w:fldCharType="separate"/>
      </w:r>
      <w:r>
        <w:t>6</w:t>
      </w:r>
      <w:r>
        <w:fldChar w:fldCharType="end"/>
      </w:r>
    </w:p>
    <w:p w14:paraId="539762D6" w14:textId="4A3A8101" w:rsidR="00257D88" w:rsidRDefault="00257D88">
      <w:pPr>
        <w:pStyle w:val="TOC2"/>
        <w:rPr>
          <w:color w:val="auto"/>
          <w:kern w:val="2"/>
          <w:szCs w:val="24"/>
          <w:lang w:val="en-US" w:eastAsia="ko-KR"/>
          <w14:ligatures w14:val="standardContextual"/>
        </w:rPr>
      </w:pPr>
      <w:r w:rsidRPr="004920BE">
        <w:rPr>
          <w:lang w:eastAsia="ko-KR"/>
        </w:rPr>
        <w:t>3.3.</w:t>
      </w:r>
      <w:r>
        <w:rPr>
          <w:color w:val="auto"/>
          <w:kern w:val="2"/>
          <w:szCs w:val="24"/>
          <w:lang w:val="en-US" w:eastAsia="ko-KR"/>
          <w14:ligatures w14:val="standardContextual"/>
        </w:rPr>
        <w:tab/>
      </w:r>
      <w:r>
        <w:rPr>
          <w:lang w:eastAsia="ko-KR"/>
        </w:rPr>
        <w:t>Heritage Protection Measures</w:t>
      </w:r>
      <w:r>
        <w:tab/>
      </w:r>
      <w:r>
        <w:fldChar w:fldCharType="begin"/>
      </w:r>
      <w:r>
        <w:instrText xml:space="preserve"> PAGEREF _Toc195121595 \h </w:instrText>
      </w:r>
      <w:r>
        <w:fldChar w:fldCharType="separate"/>
      </w:r>
      <w:r>
        <w:t>6</w:t>
      </w:r>
      <w:r>
        <w:fldChar w:fldCharType="end"/>
      </w:r>
    </w:p>
    <w:p w14:paraId="71B78CFF" w14:textId="0C8BD303" w:rsidR="00257D88" w:rsidRDefault="00257D88">
      <w:pPr>
        <w:pStyle w:val="TOC2"/>
        <w:rPr>
          <w:color w:val="auto"/>
          <w:kern w:val="2"/>
          <w:szCs w:val="24"/>
          <w:lang w:val="en-US" w:eastAsia="ko-KR"/>
          <w14:ligatures w14:val="standardContextual"/>
        </w:rPr>
      </w:pPr>
      <w:r w:rsidRPr="004920BE">
        <w:rPr>
          <w:lang w:eastAsia="ko-KR"/>
        </w:rPr>
        <w:t>3.4.</w:t>
      </w:r>
      <w:r>
        <w:rPr>
          <w:color w:val="auto"/>
          <w:kern w:val="2"/>
          <w:szCs w:val="24"/>
          <w:lang w:val="en-US" w:eastAsia="ko-KR"/>
          <w14:ligatures w14:val="standardContextual"/>
        </w:rPr>
        <w:tab/>
      </w:r>
      <w:r>
        <w:rPr>
          <w:lang w:eastAsia="ko-KR"/>
        </w:rPr>
        <w:t>Environmental Safety and Remediation</w:t>
      </w:r>
      <w:r>
        <w:tab/>
      </w:r>
      <w:r>
        <w:fldChar w:fldCharType="begin"/>
      </w:r>
      <w:r>
        <w:instrText xml:space="preserve"> PAGEREF _Toc195121596 \h </w:instrText>
      </w:r>
      <w:r>
        <w:fldChar w:fldCharType="separate"/>
      </w:r>
      <w:r>
        <w:t>6</w:t>
      </w:r>
      <w:r>
        <w:fldChar w:fldCharType="end"/>
      </w:r>
    </w:p>
    <w:p w14:paraId="29A90A00" w14:textId="0F495950" w:rsidR="00257D88" w:rsidRDefault="00257D88">
      <w:pPr>
        <w:pStyle w:val="TOC2"/>
        <w:rPr>
          <w:color w:val="auto"/>
          <w:kern w:val="2"/>
          <w:szCs w:val="24"/>
          <w:lang w:val="en-US" w:eastAsia="ko-KR"/>
          <w14:ligatures w14:val="standardContextual"/>
        </w:rPr>
      </w:pPr>
      <w:r w:rsidRPr="004920BE">
        <w:rPr>
          <w:lang w:eastAsia="ko-KR"/>
        </w:rPr>
        <w:t>3.5.</w:t>
      </w:r>
      <w:r>
        <w:rPr>
          <w:color w:val="auto"/>
          <w:kern w:val="2"/>
          <w:szCs w:val="24"/>
          <w:lang w:val="en-US" w:eastAsia="ko-KR"/>
          <w14:ligatures w14:val="standardContextual"/>
        </w:rPr>
        <w:tab/>
      </w:r>
      <w:r>
        <w:rPr>
          <w:lang w:eastAsia="ko-KR"/>
        </w:rPr>
        <w:t>Legal and Instituitional Instruments</w:t>
      </w:r>
      <w:r>
        <w:tab/>
      </w:r>
      <w:r>
        <w:fldChar w:fldCharType="begin"/>
      </w:r>
      <w:r>
        <w:instrText xml:space="preserve"> PAGEREF _Toc195121597 \h </w:instrText>
      </w:r>
      <w:r>
        <w:fldChar w:fldCharType="separate"/>
      </w:r>
      <w:r>
        <w:t>6</w:t>
      </w:r>
      <w:r>
        <w:fldChar w:fldCharType="end"/>
      </w:r>
    </w:p>
    <w:p w14:paraId="54F1631D" w14:textId="71805505" w:rsidR="00257D88" w:rsidRDefault="00257D88">
      <w:pPr>
        <w:pStyle w:val="TOC2"/>
        <w:rPr>
          <w:color w:val="auto"/>
          <w:kern w:val="2"/>
          <w:szCs w:val="24"/>
          <w:lang w:val="en-US" w:eastAsia="ko-KR"/>
          <w14:ligatures w14:val="standardContextual"/>
        </w:rPr>
      </w:pPr>
      <w:r w:rsidRPr="004920BE">
        <w:rPr>
          <w:lang w:eastAsia="ko-KR"/>
        </w:rPr>
        <w:t>3.6.</w:t>
      </w:r>
      <w:r>
        <w:rPr>
          <w:color w:val="auto"/>
          <w:kern w:val="2"/>
          <w:szCs w:val="24"/>
          <w:lang w:val="en-US" w:eastAsia="ko-KR"/>
          <w14:ligatures w14:val="standardContextual"/>
        </w:rPr>
        <w:tab/>
      </w:r>
      <w:r>
        <w:rPr>
          <w:lang w:eastAsia="ko-KR"/>
        </w:rPr>
        <w:t>Accompanying Artefacts and Equipment</w:t>
      </w:r>
      <w:r>
        <w:tab/>
      </w:r>
      <w:r>
        <w:fldChar w:fldCharType="begin"/>
      </w:r>
      <w:r>
        <w:instrText xml:space="preserve"> PAGEREF _Toc195121598 \h </w:instrText>
      </w:r>
      <w:r>
        <w:fldChar w:fldCharType="separate"/>
      </w:r>
      <w:r>
        <w:t>7</w:t>
      </w:r>
      <w:r>
        <w:fldChar w:fldCharType="end"/>
      </w:r>
    </w:p>
    <w:p w14:paraId="4B742374" w14:textId="0C8A2D9C" w:rsidR="00257D88" w:rsidRDefault="00257D88">
      <w:pPr>
        <w:pStyle w:val="TOC1"/>
        <w:rPr>
          <w:b w:val="0"/>
          <w:caps w:val="0"/>
          <w:color w:val="auto"/>
          <w:kern w:val="2"/>
          <w:szCs w:val="24"/>
          <w:lang w:val="en-US" w:eastAsia="ko-KR"/>
          <w14:ligatures w14:val="standardContextual"/>
        </w:rPr>
      </w:pPr>
      <w:r w:rsidRPr="004920BE">
        <w:rPr>
          <w:lang w:eastAsia="ko-KR"/>
        </w:rPr>
        <w:t>4.</w:t>
      </w:r>
      <w:r>
        <w:rPr>
          <w:b w:val="0"/>
          <w:caps w:val="0"/>
          <w:color w:val="auto"/>
          <w:kern w:val="2"/>
          <w:szCs w:val="24"/>
          <w:lang w:val="en-US" w:eastAsia="ko-KR"/>
          <w14:ligatures w14:val="standardContextual"/>
        </w:rPr>
        <w:tab/>
      </w:r>
      <w:r>
        <w:rPr>
          <w:lang w:eastAsia="ko-KR"/>
        </w:rPr>
        <w:t>Conclusion</w:t>
      </w:r>
      <w:r>
        <w:tab/>
      </w:r>
      <w:r>
        <w:fldChar w:fldCharType="begin"/>
      </w:r>
      <w:r>
        <w:instrText xml:space="preserve"> PAGEREF _Toc195121599 \h </w:instrText>
      </w:r>
      <w:r>
        <w:fldChar w:fldCharType="separate"/>
      </w:r>
      <w:r>
        <w:t>7</w:t>
      </w:r>
      <w:r>
        <w:fldChar w:fldCharType="end"/>
      </w:r>
    </w:p>
    <w:p w14:paraId="418103C4" w14:textId="0CC7675D" w:rsidR="00257D88" w:rsidRDefault="00257D88">
      <w:pPr>
        <w:pStyle w:val="TOC1"/>
        <w:rPr>
          <w:b w:val="0"/>
          <w:caps w:val="0"/>
          <w:color w:val="auto"/>
          <w:kern w:val="2"/>
          <w:szCs w:val="24"/>
          <w:lang w:val="en-US" w:eastAsia="ko-KR"/>
          <w14:ligatures w14:val="standardContextual"/>
        </w:rPr>
      </w:pPr>
      <w:r w:rsidRPr="004920BE">
        <w:t>5.</w:t>
      </w:r>
      <w:r>
        <w:rPr>
          <w:b w:val="0"/>
          <w:caps w:val="0"/>
          <w:color w:val="auto"/>
          <w:kern w:val="2"/>
          <w:szCs w:val="24"/>
          <w:lang w:val="en-US" w:eastAsia="ko-KR"/>
          <w14:ligatures w14:val="standardContextual"/>
        </w:rPr>
        <w:tab/>
      </w:r>
      <w:r>
        <w:t>abbreviations</w:t>
      </w:r>
      <w:r>
        <w:tab/>
      </w:r>
      <w:r>
        <w:fldChar w:fldCharType="begin"/>
      </w:r>
      <w:r>
        <w:instrText xml:space="preserve"> PAGEREF _Toc195121600 \h </w:instrText>
      </w:r>
      <w:r>
        <w:fldChar w:fldCharType="separate"/>
      </w:r>
      <w:r>
        <w:t>7</w:t>
      </w:r>
      <w:r>
        <w:fldChar w:fldCharType="end"/>
      </w:r>
    </w:p>
    <w:p w14:paraId="0D7A3BE4" w14:textId="345929B6" w:rsidR="00257D88" w:rsidRDefault="00257D88">
      <w:pPr>
        <w:pStyle w:val="TOC1"/>
        <w:rPr>
          <w:b w:val="0"/>
          <w:caps w:val="0"/>
          <w:color w:val="auto"/>
          <w:kern w:val="2"/>
          <w:szCs w:val="24"/>
          <w:lang w:val="en-US" w:eastAsia="ko-KR"/>
          <w14:ligatures w14:val="standardContextual"/>
        </w:rPr>
      </w:pPr>
      <w:r w:rsidRPr="004920BE">
        <w:t>6.</w:t>
      </w:r>
      <w:r>
        <w:rPr>
          <w:b w:val="0"/>
          <w:caps w:val="0"/>
          <w:color w:val="auto"/>
          <w:kern w:val="2"/>
          <w:szCs w:val="24"/>
          <w:lang w:val="en-US" w:eastAsia="ko-KR"/>
          <w14:ligatures w14:val="standardContextual"/>
        </w:rPr>
        <w:tab/>
      </w:r>
      <w:r>
        <w:t>references</w:t>
      </w:r>
      <w:r>
        <w:tab/>
      </w:r>
      <w:r>
        <w:fldChar w:fldCharType="begin"/>
      </w:r>
      <w:r>
        <w:instrText xml:space="preserve"> PAGEREF _Toc195121601 \h </w:instrText>
      </w:r>
      <w:r>
        <w:fldChar w:fldCharType="separate"/>
      </w:r>
      <w:r>
        <w:t>7</w:t>
      </w:r>
      <w:r>
        <w:fldChar w:fldCharType="end"/>
      </w:r>
    </w:p>
    <w:p w14:paraId="3136D6C3" w14:textId="25584A75" w:rsidR="00642025" w:rsidRPr="00F55AD7" w:rsidRDefault="000C2857" w:rsidP="00CB1D11">
      <w:pPr>
        <w:pStyle w:val="BodyText"/>
        <w:suppressAutoHyphens/>
      </w:pPr>
      <w:r>
        <w:rPr>
          <w:rFonts w:eastAsia="Times New Roman" w:cs="Times New Roman"/>
          <w:b/>
          <w:noProof/>
          <w:color w:val="00558C" w:themeColor="accent1"/>
          <w:szCs w:val="20"/>
        </w:rPr>
        <w:fldChar w:fldCharType="end"/>
      </w:r>
    </w:p>
    <w:p w14:paraId="483B4A76" w14:textId="77777777" w:rsidR="00790277" w:rsidRPr="00462095" w:rsidRDefault="00790277" w:rsidP="00CB1D11">
      <w:pPr>
        <w:pStyle w:val="BodyText"/>
        <w:suppressAutoHyphens/>
        <w:sectPr w:rsidR="00790277" w:rsidRPr="00462095" w:rsidSect="000D1024">
          <w:headerReference w:type="even" r:id="rId21"/>
          <w:headerReference w:type="default" r:id="rId22"/>
          <w:headerReference w:type="first" r:id="rId23"/>
          <w:footerReference w:type="first" r:id="rId24"/>
          <w:pgSz w:w="11906" w:h="16838" w:code="9"/>
          <w:pgMar w:top="567" w:right="794" w:bottom="567" w:left="907" w:header="850" w:footer="784" w:gutter="0"/>
          <w:cols w:space="708"/>
          <w:docGrid w:linePitch="360"/>
        </w:sectPr>
      </w:pPr>
    </w:p>
    <w:p w14:paraId="25A46F81" w14:textId="3263D10B" w:rsidR="004944C8" w:rsidRPr="00F55AD7" w:rsidRDefault="00437CA8" w:rsidP="00CB1D11">
      <w:pPr>
        <w:pStyle w:val="Heading1"/>
        <w:suppressAutoHyphens/>
      </w:pPr>
      <w:bookmarkStart w:id="0" w:name="_Toc195121590"/>
      <w:r>
        <w:lastRenderedPageBreak/>
        <w:t>INTRODUCTION</w:t>
      </w:r>
      <w:bookmarkEnd w:id="0"/>
    </w:p>
    <w:p w14:paraId="30566B26" w14:textId="77777777" w:rsidR="003A6A32" w:rsidRDefault="003A6A32" w:rsidP="00CB1D11">
      <w:pPr>
        <w:pStyle w:val="Heading1separationline"/>
        <w:suppressAutoHyphens/>
      </w:pPr>
    </w:p>
    <w:p w14:paraId="3E7B5B1D" w14:textId="25EB8640" w:rsidR="004119E4" w:rsidRDefault="004119E4" w:rsidP="004119E4">
      <w:pPr>
        <w:pStyle w:val="BodyText"/>
        <w:suppressAutoHyphens/>
        <w:rPr>
          <w:lang w:eastAsia="ko-KR"/>
        </w:rPr>
      </w:pPr>
      <w:bookmarkStart w:id="1" w:name="_Hlk59200746"/>
      <w:r>
        <w:t>Over the past centuries, technological developments have transformed how Marine Aids to Navigation (</w:t>
      </w:r>
      <w:proofErr w:type="spellStart"/>
      <w:r>
        <w:t>AtoN</w:t>
      </w:r>
      <w:proofErr w:type="spellEnd"/>
      <w:r>
        <w:t xml:space="preserve">) services are delivered. Lighthouses, which were traditionally staffed and </w:t>
      </w:r>
      <w:r w:rsidR="00952DB1">
        <w:rPr>
          <w:rFonts w:hint="eastAsia"/>
          <w:lang w:eastAsia="ko-KR"/>
        </w:rPr>
        <w:t xml:space="preserve">comprised </w:t>
      </w:r>
      <w:r>
        <w:t xml:space="preserve">multiple buildings for operational and residential purposes, have increasingly become unmanned and automated due to advancements in equipment and control systems. As a result, many lighthouse properties now </w:t>
      </w:r>
      <w:r w:rsidR="00952DB1">
        <w:rPr>
          <w:rFonts w:hint="eastAsia"/>
          <w:lang w:eastAsia="ko-KR"/>
        </w:rPr>
        <w:t>contain</w:t>
      </w:r>
      <w:r>
        <w:t xml:space="preserve"> structures that are no longer </w:t>
      </w:r>
      <w:r w:rsidR="005253B6">
        <w:rPr>
          <w:rFonts w:hint="eastAsia"/>
          <w:lang w:eastAsia="ko-KR"/>
        </w:rPr>
        <w:t>essential to</w:t>
      </w:r>
      <w:r>
        <w:t xml:space="preserve"> core operational functions</w:t>
      </w:r>
      <w:r w:rsidR="005253B6">
        <w:rPr>
          <w:rFonts w:hint="eastAsia"/>
          <w:lang w:eastAsia="ko-KR"/>
        </w:rPr>
        <w:t xml:space="preserve">. These are referred to </w:t>
      </w:r>
      <w:r w:rsidR="007C56BA">
        <w:t>as surplus lighthouse propert</w:t>
      </w:r>
      <w:r w:rsidR="005253B6">
        <w:rPr>
          <w:rFonts w:hint="eastAsia"/>
          <w:lang w:eastAsia="ko-KR"/>
        </w:rPr>
        <w:t>ies.</w:t>
      </w:r>
    </w:p>
    <w:p w14:paraId="0A9FA5F3" w14:textId="220D93DC" w:rsidR="007C1961" w:rsidRDefault="004119E4" w:rsidP="007C1961">
      <w:pPr>
        <w:pStyle w:val="BodyText"/>
        <w:suppressAutoHyphens/>
      </w:pPr>
      <w:r>
        <w:t xml:space="preserve">In recent years, </w:t>
      </w:r>
      <w:proofErr w:type="spellStart"/>
      <w:r>
        <w:t>AtoN</w:t>
      </w:r>
      <w:proofErr w:type="spellEnd"/>
      <w:r>
        <w:t xml:space="preserve"> authorities </w:t>
      </w:r>
      <w:r w:rsidR="00C238D7">
        <w:rPr>
          <w:rFonts w:hint="eastAsia"/>
          <w:lang w:eastAsia="ko-KR"/>
        </w:rPr>
        <w:t xml:space="preserve">worldwide </w:t>
      </w:r>
      <w:r>
        <w:t xml:space="preserve">have </w:t>
      </w:r>
      <w:r w:rsidR="00C238D7">
        <w:rPr>
          <w:rFonts w:hint="eastAsia"/>
          <w:lang w:eastAsia="ko-KR"/>
        </w:rPr>
        <w:t>re</w:t>
      </w:r>
      <w:r w:rsidR="007C1961">
        <w:t xml:space="preserve">assessed the need </w:t>
      </w:r>
      <w:r w:rsidR="00233EE1">
        <w:rPr>
          <w:rFonts w:hint="eastAsia"/>
          <w:lang w:eastAsia="ko-KR"/>
        </w:rPr>
        <w:t>for traditional infrastructure. In many cases, this has led to the</w:t>
      </w:r>
      <w:r>
        <w:t xml:space="preserve"> downsi</w:t>
      </w:r>
      <w:r w:rsidR="007C1961">
        <w:t>z</w:t>
      </w:r>
      <w:r w:rsidR="00233EE1">
        <w:rPr>
          <w:rFonts w:hint="eastAsia"/>
          <w:lang w:eastAsia="ko-KR"/>
        </w:rPr>
        <w:t>ing of</w:t>
      </w:r>
      <w:r>
        <w:t xml:space="preserve"> service areas, </w:t>
      </w:r>
      <w:r w:rsidR="00233EE1">
        <w:rPr>
          <w:rFonts w:hint="eastAsia"/>
          <w:lang w:eastAsia="ko-KR"/>
        </w:rPr>
        <w:t xml:space="preserve">the </w:t>
      </w:r>
      <w:r w:rsidR="007C1961">
        <w:t>implement</w:t>
      </w:r>
      <w:r w:rsidR="00233EE1">
        <w:rPr>
          <w:rFonts w:hint="eastAsia"/>
          <w:lang w:eastAsia="ko-KR"/>
        </w:rPr>
        <w:t>ation of</w:t>
      </w:r>
      <w:r>
        <w:t xml:space="preserve"> electronic </w:t>
      </w:r>
      <w:proofErr w:type="spellStart"/>
      <w:r>
        <w:t>AtoN</w:t>
      </w:r>
      <w:proofErr w:type="spellEnd"/>
      <w:r>
        <w:t xml:space="preserve">, and </w:t>
      </w:r>
      <w:r w:rsidR="001E5E48">
        <w:rPr>
          <w:rFonts w:hint="eastAsia"/>
          <w:lang w:eastAsia="ko-KR"/>
        </w:rPr>
        <w:t xml:space="preserve">the complete </w:t>
      </w:r>
      <w:r w:rsidR="007C1961">
        <w:t>decommission</w:t>
      </w:r>
      <w:r w:rsidR="001E5E48">
        <w:rPr>
          <w:rFonts w:hint="eastAsia"/>
          <w:lang w:eastAsia="ko-KR"/>
        </w:rPr>
        <w:t>ing of</w:t>
      </w:r>
      <w:r>
        <w:t xml:space="preserve"> traditional systems. At the same time, budget constraints and rising maintenance costs have </w:t>
      </w:r>
      <w:r w:rsidR="001E5E48">
        <w:rPr>
          <w:rFonts w:hint="eastAsia"/>
          <w:lang w:eastAsia="ko-KR"/>
        </w:rPr>
        <w:t xml:space="preserve">further encouraged consideration of </w:t>
      </w:r>
      <w:r>
        <w:t xml:space="preserve">alternative </w:t>
      </w:r>
      <w:r w:rsidR="00FE766B">
        <w:rPr>
          <w:rFonts w:hint="eastAsia"/>
          <w:lang w:eastAsia="ko-KR"/>
        </w:rPr>
        <w:t xml:space="preserve">solutions. While complementary uses such as cultural or community purposes </w:t>
      </w:r>
      <w:r w:rsidR="003D6915">
        <w:rPr>
          <w:rFonts w:hint="eastAsia"/>
          <w:lang w:eastAsia="ko-KR"/>
        </w:rPr>
        <w:t xml:space="preserve">may be explored under other IALA guidance (e.g. G1063 and G1075), </w:t>
      </w:r>
      <w:r w:rsidR="002F7C71">
        <w:rPr>
          <w:rFonts w:hint="eastAsia"/>
          <w:lang w:eastAsia="ko-KR"/>
        </w:rPr>
        <w:t>this guideline focuses on situations where such alternatives are not viable and a transfer of ownership is required.</w:t>
      </w:r>
      <w:r w:rsidR="00B44C24">
        <w:t xml:space="preserve"> </w:t>
      </w:r>
    </w:p>
    <w:p w14:paraId="1D6333D1" w14:textId="4E3006C9" w:rsidR="004119E4" w:rsidRDefault="007C1961" w:rsidP="004119E4">
      <w:pPr>
        <w:pStyle w:val="BodyText"/>
        <w:suppressAutoHyphens/>
        <w:rPr>
          <w:lang w:eastAsia="ko-KR"/>
        </w:rPr>
      </w:pPr>
      <w:r>
        <w:t xml:space="preserve">While it is preferential from a heritage perspective for surplus lighthouse property to be retained by the </w:t>
      </w:r>
      <w:proofErr w:type="spellStart"/>
      <w:r>
        <w:t>AtoN</w:t>
      </w:r>
      <w:proofErr w:type="spellEnd"/>
      <w:r>
        <w:t xml:space="preserve"> managing authorities (and given complementary use if possible, see G1063), it is recognised that this is not always feasible. </w:t>
      </w:r>
      <w:r w:rsidR="003529FC">
        <w:rPr>
          <w:rFonts w:hint="eastAsia"/>
          <w:lang w:eastAsia="ko-KR"/>
        </w:rPr>
        <w:t xml:space="preserve">In such cases, it is </w:t>
      </w:r>
      <w:r w:rsidR="003529FC">
        <w:rPr>
          <w:lang w:eastAsia="ko-KR"/>
        </w:rPr>
        <w:t>important</w:t>
      </w:r>
      <w:r w:rsidR="003529FC">
        <w:rPr>
          <w:rFonts w:hint="eastAsia"/>
          <w:lang w:eastAsia="ko-KR"/>
        </w:rPr>
        <w:t xml:space="preserve"> that any transfer of ownership is carried out responsibly, with </w:t>
      </w:r>
      <w:r w:rsidR="00B17D61">
        <w:rPr>
          <w:rFonts w:hint="eastAsia"/>
          <w:lang w:eastAsia="ko-KR"/>
        </w:rPr>
        <w:t>consideration for cultural value, community interest, and operational continuity.</w:t>
      </w:r>
    </w:p>
    <w:p w14:paraId="04586E85" w14:textId="52D6C612" w:rsidR="007E4477" w:rsidRDefault="007E4477" w:rsidP="007E4477">
      <w:pPr>
        <w:pStyle w:val="BodyText"/>
        <w:suppressAutoHyphens/>
        <w:rPr>
          <w:lang w:eastAsia="ko-KR"/>
        </w:rPr>
      </w:pPr>
      <w:r>
        <w:t>International policy frameworks reflect these broader concerns. The United Nations Sustainable Development Goal 11.4 calls for strengthened efforts to protect and safeguard the world’s cultural and natural heritage. UNESCO and ICOMOS promote integrated and participatory models for maritime heritage management, while the European Union supports the adaptive reuse of historic public assets through its cultural heritage strategies.</w:t>
      </w:r>
    </w:p>
    <w:p w14:paraId="5EDDE30A" w14:textId="4F94904C" w:rsidR="007E4477" w:rsidRDefault="007E4477" w:rsidP="007E4477">
      <w:pPr>
        <w:pStyle w:val="BodyText"/>
        <w:suppressAutoHyphens/>
      </w:pPr>
      <w:r>
        <w:t>This guideline offers practical and balanced recommendations to support the responsible transfer of ownership of surplus lighthouse property. It encourages decision-making that considers operational, financial, cultural, environmental, and community factors, while allowing flexibility for adaptation to the diverse legal and institutional contexts of IALA Member States.</w:t>
      </w:r>
    </w:p>
    <w:p w14:paraId="2058E3B8" w14:textId="77777777" w:rsidR="00705DEB" w:rsidRDefault="00705DEB" w:rsidP="00605998">
      <w:pPr>
        <w:pStyle w:val="BodyText"/>
        <w:suppressAutoHyphens/>
        <w:rPr>
          <w:lang w:eastAsia="ko-KR"/>
        </w:rPr>
      </w:pPr>
    </w:p>
    <w:p w14:paraId="29B7066A" w14:textId="54AAF643" w:rsidR="00605998" w:rsidRDefault="00605998" w:rsidP="00605998">
      <w:pPr>
        <w:pStyle w:val="Heading1"/>
        <w:rPr>
          <w:lang w:eastAsia="ko-KR"/>
        </w:rPr>
      </w:pPr>
      <w:bookmarkStart w:id="2" w:name="_Toc195100694"/>
      <w:bookmarkStart w:id="3" w:name="_Toc195121591"/>
      <w:bookmarkEnd w:id="2"/>
      <w:r>
        <w:rPr>
          <w:rFonts w:hint="eastAsia"/>
          <w:lang w:eastAsia="ko-KR"/>
        </w:rPr>
        <w:t>SCOPE</w:t>
      </w:r>
      <w:bookmarkEnd w:id="3"/>
    </w:p>
    <w:p w14:paraId="3DB640FB" w14:textId="2B5E60E0" w:rsidR="002B667F" w:rsidRDefault="002B667F" w:rsidP="002B667F">
      <w:pPr>
        <w:pStyle w:val="Heading1separationline"/>
        <w:rPr>
          <w:lang w:val="en-US" w:eastAsia="ko-KR"/>
        </w:rPr>
      </w:pPr>
    </w:p>
    <w:p w14:paraId="640BDBE8" w14:textId="77777777" w:rsidR="003E2EAC" w:rsidRDefault="0019406D" w:rsidP="0077362E">
      <w:pPr>
        <w:pStyle w:val="BodyText"/>
        <w:rPr>
          <w:lang w:val="en-US" w:eastAsia="ko-KR"/>
        </w:rPr>
      </w:pPr>
      <w:r w:rsidRPr="0019406D">
        <w:rPr>
          <w:lang w:val="en-US" w:eastAsia="ko-KR"/>
        </w:rPr>
        <w:t>The purpose of this guideline is to support competent authorities in making informed, transparent, and context-sensitive decisions regarding the future of surplus lighthouse property</w:t>
      </w:r>
      <w:commentRangeStart w:id="4"/>
      <w:r w:rsidRPr="0019406D">
        <w:rPr>
          <w:lang w:val="en-US" w:eastAsia="ko-KR"/>
        </w:rPr>
        <w:t xml:space="preserve">. It promotes the development of long-term strategies that consider responsible </w:t>
      </w:r>
      <w:r w:rsidR="007C1961">
        <w:rPr>
          <w:lang w:val="en-US" w:eastAsia="ko-KR"/>
        </w:rPr>
        <w:t>transfer of ownership</w:t>
      </w:r>
      <w:r w:rsidRPr="0019406D">
        <w:rPr>
          <w:lang w:val="en-US" w:eastAsia="ko-KR"/>
        </w:rPr>
        <w:t>.</w:t>
      </w:r>
      <w:commentRangeEnd w:id="4"/>
      <w:r w:rsidR="00705DEB">
        <w:rPr>
          <w:rStyle w:val="CommentReference"/>
        </w:rPr>
        <w:commentReference w:id="4"/>
      </w:r>
      <w:bookmarkEnd w:id="1"/>
      <w:r w:rsidR="00B821EF">
        <w:rPr>
          <w:rFonts w:hint="eastAsia"/>
          <w:lang w:val="en-US" w:eastAsia="ko-KR"/>
        </w:rPr>
        <w:t xml:space="preserve"> </w:t>
      </w:r>
    </w:p>
    <w:p w14:paraId="03664D0F" w14:textId="08B428B5" w:rsidR="00B62429" w:rsidRPr="006B7FA8" w:rsidRDefault="003E2EAC" w:rsidP="0077362E">
      <w:pPr>
        <w:pStyle w:val="BodyText"/>
        <w:rPr>
          <w:lang w:eastAsia="ko-KR"/>
        </w:rPr>
      </w:pPr>
      <w:r>
        <w:rPr>
          <w:rFonts w:hint="eastAsia"/>
          <w:lang w:val="en-US" w:eastAsia="ko-KR"/>
        </w:rPr>
        <w:t>In the context of this guideline, t</w:t>
      </w:r>
      <w:r w:rsidR="00AB7324">
        <w:rPr>
          <w:rFonts w:hint="eastAsia"/>
          <w:lang w:val="en-US" w:eastAsia="ko-KR"/>
        </w:rPr>
        <w:t xml:space="preserve">ransfer of ownership refers to </w:t>
      </w:r>
      <w:r>
        <w:rPr>
          <w:rFonts w:hint="eastAsia"/>
          <w:lang w:val="en-US" w:eastAsia="ko-KR"/>
        </w:rPr>
        <w:t>the sale or donation of surplus lighthouse property to</w:t>
      </w:r>
      <w:r w:rsidR="009E4A37">
        <w:rPr>
          <w:rFonts w:hint="eastAsia"/>
          <w:lang w:val="en-US" w:eastAsia="ko-KR"/>
        </w:rPr>
        <w:t xml:space="preserve"> third parties.</w:t>
      </w:r>
    </w:p>
    <w:p w14:paraId="4CD06EFB" w14:textId="3CC3D301" w:rsidR="00835EA0" w:rsidRPr="00835EA0" w:rsidRDefault="00835EA0" w:rsidP="00CB1D11">
      <w:pPr>
        <w:pStyle w:val="BodyText"/>
        <w:suppressAutoHyphens/>
        <w:rPr>
          <w:lang w:eastAsia="ko-KR"/>
        </w:rPr>
      </w:pPr>
      <w:bookmarkStart w:id="5" w:name="_Hlk59179146"/>
    </w:p>
    <w:p w14:paraId="733E6D8B" w14:textId="08BD06AF" w:rsidR="00854BCE" w:rsidRPr="00F55AD7" w:rsidRDefault="00892138" w:rsidP="00B37EE3">
      <w:pPr>
        <w:pStyle w:val="Heading1"/>
      </w:pPr>
      <w:bookmarkStart w:id="6" w:name="_Toc195121592"/>
      <w:bookmarkEnd w:id="5"/>
      <w:commentRangeStart w:id="7"/>
      <w:r w:rsidRPr="00B37EE3">
        <w:rPr>
          <w:rFonts w:hint="eastAsia"/>
        </w:rPr>
        <w:t>Consi</w:t>
      </w:r>
      <w:r w:rsidR="00B37EE3">
        <w:rPr>
          <w:rFonts w:hint="eastAsia"/>
          <w:lang w:eastAsia="ko-KR"/>
        </w:rPr>
        <w:t>derations for Property Transfer</w:t>
      </w:r>
      <w:commentRangeEnd w:id="7"/>
      <w:r w:rsidR="00B44C24">
        <w:rPr>
          <w:rStyle w:val="CommentReference"/>
          <w:rFonts w:asciiTheme="minorHAnsi" w:eastAsiaTheme="minorEastAsia" w:hAnsiTheme="minorHAnsi" w:cstheme="minorBidi"/>
          <w:b w:val="0"/>
          <w:bCs w:val="0"/>
          <w:caps w:val="0"/>
          <w:color w:val="auto"/>
        </w:rPr>
        <w:commentReference w:id="7"/>
      </w:r>
      <w:bookmarkEnd w:id="6"/>
    </w:p>
    <w:p w14:paraId="3CFD6FF2" w14:textId="77777777" w:rsidR="00646AFD" w:rsidRPr="00F55AD7" w:rsidRDefault="00646AFD" w:rsidP="00CB1D11">
      <w:pPr>
        <w:pStyle w:val="Heading1separationline"/>
        <w:suppressAutoHyphens/>
      </w:pPr>
    </w:p>
    <w:p w14:paraId="2B34972E" w14:textId="7D88A68D" w:rsidR="00EB0E01" w:rsidRDefault="00C93DED" w:rsidP="00CB1D11">
      <w:pPr>
        <w:pStyle w:val="BodyText"/>
        <w:suppressAutoHyphens/>
        <w:rPr>
          <w:lang w:eastAsia="ko-KR"/>
        </w:rPr>
      </w:pPr>
      <w:bookmarkStart w:id="8" w:name="_Hlk59209504"/>
      <w:r w:rsidRPr="00C93DED">
        <w:rPr>
          <w:lang w:eastAsia="ko-KR"/>
        </w:rPr>
        <w:t xml:space="preserve">When surplus lighthouse properties are transferred to another entity, it is </w:t>
      </w:r>
      <w:r w:rsidR="00812878">
        <w:rPr>
          <w:rFonts w:hint="eastAsia"/>
          <w:lang w:eastAsia="ko-KR"/>
        </w:rPr>
        <w:t>essential</w:t>
      </w:r>
      <w:r w:rsidRPr="00C93DED">
        <w:rPr>
          <w:lang w:eastAsia="ko-KR"/>
        </w:rPr>
        <w:t xml:space="preserve"> that the</w:t>
      </w:r>
      <w:r w:rsidR="00AE62B3">
        <w:rPr>
          <w:rFonts w:hint="eastAsia"/>
          <w:lang w:eastAsia="ko-KR"/>
        </w:rPr>
        <w:t xml:space="preserve"> process</w:t>
      </w:r>
      <w:r w:rsidRPr="00C93DED">
        <w:rPr>
          <w:lang w:eastAsia="ko-KR"/>
        </w:rPr>
        <w:t xml:space="preserve"> preserves public </w:t>
      </w:r>
      <w:r w:rsidR="00B157A4">
        <w:rPr>
          <w:rFonts w:hint="eastAsia"/>
          <w:lang w:eastAsia="ko-KR"/>
        </w:rPr>
        <w:t>value</w:t>
      </w:r>
      <w:r w:rsidRPr="00C93DED">
        <w:rPr>
          <w:lang w:eastAsia="ko-KR"/>
        </w:rPr>
        <w:t xml:space="preserve">, </w:t>
      </w:r>
      <w:r w:rsidR="00B157A4">
        <w:rPr>
          <w:rFonts w:hint="eastAsia"/>
          <w:lang w:eastAsia="ko-KR"/>
        </w:rPr>
        <w:t>ensures the protection of cultural</w:t>
      </w:r>
      <w:r w:rsidRPr="00C93DED">
        <w:rPr>
          <w:lang w:eastAsia="ko-KR"/>
        </w:rPr>
        <w:t xml:space="preserve"> and environmental </w:t>
      </w:r>
      <w:r w:rsidR="00B157A4">
        <w:rPr>
          <w:rFonts w:hint="eastAsia"/>
          <w:lang w:eastAsia="ko-KR"/>
        </w:rPr>
        <w:t>assets</w:t>
      </w:r>
      <w:r w:rsidRPr="00C93DED">
        <w:rPr>
          <w:lang w:eastAsia="ko-KR"/>
        </w:rPr>
        <w:t xml:space="preserve">, and </w:t>
      </w:r>
      <w:r w:rsidR="00756A17">
        <w:rPr>
          <w:rFonts w:hint="eastAsia"/>
          <w:lang w:eastAsia="ko-KR"/>
        </w:rPr>
        <w:t>secures</w:t>
      </w:r>
      <w:r w:rsidRPr="00C93DED">
        <w:rPr>
          <w:lang w:eastAsia="ko-KR"/>
        </w:rPr>
        <w:t xml:space="preserve"> access for any remaining </w:t>
      </w:r>
      <w:proofErr w:type="spellStart"/>
      <w:r w:rsidR="00756A17">
        <w:rPr>
          <w:rFonts w:hint="eastAsia"/>
          <w:lang w:eastAsia="ko-KR"/>
        </w:rPr>
        <w:t>AtoN</w:t>
      </w:r>
      <w:proofErr w:type="spellEnd"/>
      <w:r w:rsidR="00756A17">
        <w:rPr>
          <w:rFonts w:hint="eastAsia"/>
          <w:lang w:eastAsia="ko-KR"/>
        </w:rPr>
        <w:t xml:space="preserve"> </w:t>
      </w:r>
      <w:r w:rsidRPr="00C93DED">
        <w:rPr>
          <w:lang w:eastAsia="ko-KR"/>
        </w:rPr>
        <w:t xml:space="preserve">functions. </w:t>
      </w:r>
      <w:r w:rsidR="002408A6">
        <w:rPr>
          <w:lang w:eastAsia="ko-KR"/>
        </w:rPr>
        <w:t>Legal</w:t>
      </w:r>
      <w:r w:rsidR="002408A6">
        <w:rPr>
          <w:rFonts w:hint="eastAsia"/>
          <w:lang w:eastAsia="ko-KR"/>
        </w:rPr>
        <w:t xml:space="preserve"> procedures, responsibilities, and requirements for </w:t>
      </w:r>
      <w:r w:rsidR="00665A82">
        <w:rPr>
          <w:rFonts w:hint="eastAsia"/>
          <w:lang w:eastAsia="ko-KR"/>
        </w:rPr>
        <w:t>the transfer of</w:t>
      </w:r>
      <w:r w:rsidR="002408A6">
        <w:rPr>
          <w:rFonts w:hint="eastAsia"/>
          <w:lang w:eastAsia="ko-KR"/>
        </w:rPr>
        <w:t xml:space="preserve"> public property vary between countries</w:t>
      </w:r>
      <w:r w:rsidR="00665A82">
        <w:rPr>
          <w:rFonts w:hint="eastAsia"/>
          <w:lang w:eastAsia="ko-KR"/>
        </w:rPr>
        <w:t xml:space="preserve">; however, </w:t>
      </w:r>
      <w:r w:rsidR="002408A6">
        <w:rPr>
          <w:rFonts w:hint="eastAsia"/>
          <w:lang w:eastAsia="ko-KR"/>
        </w:rPr>
        <w:t>the following general considerations are recommended to support responsible and sustainable outcomes.</w:t>
      </w:r>
      <w:r w:rsidR="00EB0E01" w:rsidRPr="00EB0E01">
        <w:rPr>
          <w:lang w:eastAsia="ko-KR"/>
        </w:rPr>
        <w:t xml:space="preserve"> </w:t>
      </w:r>
    </w:p>
    <w:p w14:paraId="3F1CCDEB" w14:textId="5B39D616" w:rsidR="00B44C24" w:rsidRDefault="00EB0E01" w:rsidP="00B44C24">
      <w:pPr>
        <w:pStyle w:val="Heading2"/>
        <w:rPr>
          <w:lang w:eastAsia="ko-KR"/>
        </w:rPr>
      </w:pPr>
      <w:bookmarkStart w:id="9" w:name="_Toc195100710"/>
      <w:bookmarkStart w:id="10" w:name="_Toc195121593"/>
      <w:bookmarkEnd w:id="9"/>
      <w:r>
        <w:rPr>
          <w:lang w:eastAsia="ko-KR"/>
        </w:rPr>
        <w:t xml:space="preserve">Choosing </w:t>
      </w:r>
      <w:r w:rsidR="001A6512">
        <w:rPr>
          <w:lang w:eastAsia="ko-KR"/>
        </w:rPr>
        <w:t>appropriate prospective owners</w:t>
      </w:r>
      <w:bookmarkEnd w:id="10"/>
      <w:r>
        <w:rPr>
          <w:lang w:eastAsia="ko-KR"/>
        </w:rPr>
        <w:t xml:space="preserve"> </w:t>
      </w:r>
    </w:p>
    <w:p w14:paraId="4F149513" w14:textId="77777777" w:rsidR="00B44C24" w:rsidRDefault="00B44C24" w:rsidP="00B44C24">
      <w:pPr>
        <w:pStyle w:val="Heading2separationline"/>
        <w:rPr>
          <w:lang w:eastAsia="ko-KR"/>
        </w:rPr>
      </w:pPr>
    </w:p>
    <w:p w14:paraId="3ACD8FF2" w14:textId="33EA18BB" w:rsidR="00EB0E01" w:rsidRDefault="00EB0E01" w:rsidP="0077362E">
      <w:pPr>
        <w:pStyle w:val="Bullet1"/>
        <w:numPr>
          <w:ilvl w:val="0"/>
          <w:numId w:val="0"/>
        </w:numPr>
        <w:rPr>
          <w:lang w:eastAsia="ko-KR"/>
        </w:rPr>
      </w:pPr>
      <w:r>
        <w:rPr>
          <w:lang w:eastAsia="ko-KR"/>
        </w:rPr>
        <w:lastRenderedPageBreak/>
        <w:t xml:space="preserve">When </w:t>
      </w:r>
      <w:r w:rsidR="004F1A3A">
        <w:rPr>
          <w:rFonts w:hint="eastAsia"/>
          <w:lang w:eastAsia="ko-KR"/>
        </w:rPr>
        <w:t>selecting</w:t>
      </w:r>
      <w:r>
        <w:rPr>
          <w:lang w:eastAsia="ko-KR"/>
        </w:rPr>
        <w:t xml:space="preserve"> prospective owners for surplus lighthouse properties, the following points are recommended for consideration: </w:t>
      </w:r>
    </w:p>
    <w:p w14:paraId="255F10B0" w14:textId="1513A701" w:rsidR="00854856" w:rsidRDefault="001A6512" w:rsidP="00A67D81">
      <w:pPr>
        <w:pStyle w:val="Bullet1"/>
        <w:rPr>
          <w:lang w:eastAsia="ko-KR"/>
        </w:rPr>
      </w:pPr>
      <w:r>
        <w:rPr>
          <w:lang w:eastAsia="ko-KR"/>
        </w:rPr>
        <w:t xml:space="preserve">Favour prospective owners </w:t>
      </w:r>
      <w:r w:rsidR="009434FF">
        <w:rPr>
          <w:rFonts w:hint="eastAsia"/>
          <w:lang w:eastAsia="ko-KR"/>
        </w:rPr>
        <w:t>who</w:t>
      </w:r>
      <w:r w:rsidR="00EB0E01">
        <w:rPr>
          <w:lang w:eastAsia="ko-KR"/>
        </w:rPr>
        <w:t xml:space="preserve"> demonstrate </w:t>
      </w:r>
      <w:r w:rsidR="00D87A04">
        <w:rPr>
          <w:rFonts w:hint="eastAsia"/>
          <w:lang w:eastAsia="ko-KR"/>
        </w:rPr>
        <w:t xml:space="preserve">the </w:t>
      </w:r>
      <w:r w:rsidR="00EB0E01">
        <w:rPr>
          <w:lang w:eastAsia="ko-KR"/>
        </w:rPr>
        <w:t xml:space="preserve">capability to </w:t>
      </w:r>
      <w:r w:rsidR="00EB0E01">
        <w:rPr>
          <w:rFonts w:hint="eastAsia"/>
          <w:lang w:eastAsia="ko-KR"/>
        </w:rPr>
        <w:t>preserve</w:t>
      </w:r>
      <w:r w:rsidR="00EB0E01">
        <w:rPr>
          <w:lang w:eastAsia="ko-KR"/>
        </w:rPr>
        <w:t xml:space="preserve"> and conserve</w:t>
      </w:r>
      <w:r w:rsidR="0025035A">
        <w:rPr>
          <w:rFonts w:hint="eastAsia"/>
          <w:lang w:eastAsia="ko-KR"/>
        </w:rPr>
        <w:t xml:space="preserve"> </w:t>
      </w:r>
      <w:r w:rsidR="00D87A04">
        <w:rPr>
          <w:rFonts w:hint="eastAsia"/>
          <w:lang w:eastAsia="ko-KR"/>
        </w:rPr>
        <w:t>the site</w:t>
      </w:r>
      <w:r w:rsidR="00D87A04">
        <w:rPr>
          <w:lang w:eastAsia="ko-KR"/>
        </w:rPr>
        <w:t>’</w:t>
      </w:r>
      <w:r w:rsidR="00D87A04">
        <w:rPr>
          <w:rFonts w:hint="eastAsia"/>
          <w:lang w:eastAsia="ko-KR"/>
        </w:rPr>
        <w:t xml:space="preserve">s </w:t>
      </w:r>
      <w:r w:rsidR="00EB0E01">
        <w:rPr>
          <w:rFonts w:hint="eastAsia"/>
          <w:lang w:eastAsia="ko-KR"/>
        </w:rPr>
        <w:t>cultural, architectural, or historical</w:t>
      </w:r>
      <w:r w:rsidR="00EB0E01" w:rsidRPr="00416F64">
        <w:rPr>
          <w:rFonts w:hint="eastAsia"/>
          <w:color w:val="auto"/>
          <w:lang w:eastAsia="ko-KR"/>
        </w:rPr>
        <w:t xml:space="preserve"> </w:t>
      </w:r>
      <w:r w:rsidR="00416F64" w:rsidRPr="00416F64">
        <w:rPr>
          <w:rFonts w:hint="eastAsia"/>
          <w:color w:val="auto"/>
          <w:lang w:eastAsia="ko-KR"/>
        </w:rPr>
        <w:t>ele</w:t>
      </w:r>
      <w:r w:rsidR="00416F64">
        <w:rPr>
          <w:rFonts w:hint="eastAsia"/>
          <w:color w:val="auto"/>
          <w:lang w:eastAsia="ko-KR"/>
        </w:rPr>
        <w:t>ments</w:t>
      </w:r>
      <w:r w:rsidR="00D87A04">
        <w:rPr>
          <w:rFonts w:hint="eastAsia"/>
          <w:color w:val="auto"/>
          <w:lang w:eastAsia="ko-KR"/>
        </w:rPr>
        <w:t>, and who show</w:t>
      </w:r>
      <w:r w:rsidR="009434FF">
        <w:rPr>
          <w:rFonts w:hint="eastAsia"/>
          <w:color w:val="auto"/>
          <w:lang w:eastAsia="ko-KR"/>
        </w:rPr>
        <w:t xml:space="preserve"> </w:t>
      </w:r>
      <w:r w:rsidR="00416F64">
        <w:rPr>
          <w:rFonts w:hint="eastAsia"/>
          <w:color w:val="auto"/>
          <w:lang w:eastAsia="ko-KR"/>
        </w:rPr>
        <w:t>an interest in maintaining public access.</w:t>
      </w:r>
    </w:p>
    <w:p w14:paraId="1C7BB61C" w14:textId="53BB0F24" w:rsidR="00595603" w:rsidRPr="00416F64" w:rsidRDefault="00416F64" w:rsidP="00A67D81">
      <w:pPr>
        <w:pStyle w:val="Bullet1"/>
        <w:rPr>
          <w:color w:val="auto"/>
          <w:lang w:eastAsia="ko-KR"/>
        </w:rPr>
      </w:pPr>
      <w:r w:rsidRPr="00416F64">
        <w:rPr>
          <w:rFonts w:hint="eastAsia"/>
          <w:color w:val="auto"/>
          <w:lang w:eastAsia="ko-KR"/>
        </w:rPr>
        <w:t>P</w:t>
      </w:r>
      <w:r>
        <w:rPr>
          <w:rFonts w:hint="eastAsia"/>
          <w:color w:val="auto"/>
          <w:lang w:eastAsia="ko-KR"/>
        </w:rPr>
        <w:t>rioritise entities such as local</w:t>
      </w:r>
      <w:r w:rsidR="00FE583D">
        <w:rPr>
          <w:rFonts w:hint="eastAsia"/>
          <w:color w:val="auto"/>
          <w:lang w:eastAsia="ko-KR"/>
        </w:rPr>
        <w:t xml:space="preserve"> authorities</w:t>
      </w:r>
      <w:r>
        <w:rPr>
          <w:rFonts w:hint="eastAsia"/>
          <w:color w:val="auto"/>
          <w:lang w:eastAsia="ko-KR"/>
        </w:rPr>
        <w:t xml:space="preserve">, NGOs, </w:t>
      </w:r>
      <w:r w:rsidR="004A28B2">
        <w:rPr>
          <w:color w:val="auto"/>
          <w:lang w:eastAsia="ko-KR"/>
        </w:rPr>
        <w:t>speciali</w:t>
      </w:r>
      <w:r w:rsidR="00FE583D">
        <w:rPr>
          <w:rFonts w:hint="eastAsia"/>
          <w:color w:val="auto"/>
          <w:lang w:eastAsia="ko-KR"/>
        </w:rPr>
        <w:t>s</w:t>
      </w:r>
      <w:r w:rsidR="004A28B2">
        <w:rPr>
          <w:color w:val="auto"/>
          <w:lang w:eastAsia="ko-KR"/>
        </w:rPr>
        <w:t>ed</w:t>
      </w:r>
      <w:r w:rsidR="004A28B2">
        <w:rPr>
          <w:rFonts w:hint="eastAsia"/>
          <w:color w:val="auto"/>
          <w:lang w:eastAsia="ko-KR"/>
        </w:rPr>
        <w:t xml:space="preserve"> </w:t>
      </w:r>
      <w:r w:rsidR="00FE583D">
        <w:rPr>
          <w:rFonts w:hint="eastAsia"/>
          <w:color w:val="auto"/>
          <w:lang w:eastAsia="ko-KR"/>
        </w:rPr>
        <w:t>bodies</w:t>
      </w:r>
      <w:r w:rsidR="004A28B2">
        <w:rPr>
          <w:rFonts w:hint="eastAsia"/>
          <w:color w:val="auto"/>
          <w:lang w:eastAsia="ko-KR"/>
        </w:rPr>
        <w:t xml:space="preserve">, </w:t>
      </w:r>
      <w:r>
        <w:rPr>
          <w:rFonts w:hint="eastAsia"/>
          <w:color w:val="auto"/>
          <w:lang w:eastAsia="ko-KR"/>
        </w:rPr>
        <w:t>or private organisations with</w:t>
      </w:r>
      <w:r w:rsidR="00CB2997">
        <w:rPr>
          <w:rFonts w:hint="eastAsia"/>
          <w:color w:val="auto"/>
          <w:lang w:eastAsia="ko-KR"/>
        </w:rPr>
        <w:t xml:space="preserve"> a </w:t>
      </w:r>
      <w:r>
        <w:rPr>
          <w:rFonts w:hint="eastAsia"/>
          <w:color w:val="auto"/>
          <w:lang w:eastAsia="ko-KR"/>
        </w:rPr>
        <w:t>public</w:t>
      </w:r>
      <w:r w:rsidR="00CB2997">
        <w:rPr>
          <w:rFonts w:hint="eastAsia"/>
          <w:color w:val="auto"/>
          <w:lang w:eastAsia="ko-KR"/>
        </w:rPr>
        <w:t>-</w:t>
      </w:r>
      <w:r>
        <w:rPr>
          <w:rFonts w:hint="eastAsia"/>
          <w:color w:val="auto"/>
          <w:lang w:eastAsia="ko-KR"/>
        </w:rPr>
        <w:t xml:space="preserve">interest or heritage </w:t>
      </w:r>
      <w:r w:rsidR="0064031F">
        <w:rPr>
          <w:rFonts w:hint="eastAsia"/>
          <w:color w:val="auto"/>
          <w:lang w:eastAsia="ko-KR"/>
        </w:rPr>
        <w:t>conservation</w:t>
      </w:r>
      <w:r>
        <w:rPr>
          <w:rFonts w:hint="eastAsia"/>
          <w:color w:val="auto"/>
          <w:lang w:eastAsia="ko-KR"/>
        </w:rPr>
        <w:t xml:space="preserve"> mandate.</w:t>
      </w:r>
    </w:p>
    <w:p w14:paraId="3C9221BA" w14:textId="28332C63" w:rsidR="001A6512" w:rsidRDefault="00416F64" w:rsidP="00A67D81">
      <w:pPr>
        <w:pStyle w:val="Bullet1"/>
        <w:rPr>
          <w:lang w:eastAsia="ko-KR"/>
        </w:rPr>
      </w:pPr>
      <w:r>
        <w:rPr>
          <w:rFonts w:hint="eastAsia"/>
          <w:lang w:eastAsia="ko-KR"/>
        </w:rPr>
        <w:t xml:space="preserve">Encourage community involvement in the planning and management of the site </w:t>
      </w:r>
      <w:r w:rsidR="00E35013">
        <w:rPr>
          <w:rFonts w:hint="eastAsia"/>
          <w:lang w:eastAsia="ko-KR"/>
        </w:rPr>
        <w:t>after the transfer</w:t>
      </w:r>
      <w:r>
        <w:rPr>
          <w:rFonts w:hint="eastAsia"/>
          <w:lang w:eastAsia="ko-KR"/>
        </w:rPr>
        <w:t>.</w:t>
      </w:r>
    </w:p>
    <w:p w14:paraId="0EF4F1D2" w14:textId="344DBC04" w:rsidR="00D11FCE" w:rsidRDefault="00416F64" w:rsidP="00D11FCE">
      <w:pPr>
        <w:pStyle w:val="Bullet1"/>
        <w:rPr>
          <w:lang w:eastAsia="ko-KR"/>
        </w:rPr>
      </w:pPr>
      <w:r>
        <w:rPr>
          <w:rFonts w:hint="eastAsia"/>
          <w:lang w:eastAsia="ko-KR"/>
        </w:rPr>
        <w:t>Avoid transfer agreements that restrict long-term public benefit or</w:t>
      </w:r>
      <w:r w:rsidR="00E35013">
        <w:rPr>
          <w:rFonts w:hint="eastAsia"/>
          <w:lang w:eastAsia="ko-KR"/>
        </w:rPr>
        <w:t xml:space="preserve"> result in </w:t>
      </w:r>
      <w:r>
        <w:rPr>
          <w:rFonts w:hint="eastAsia"/>
          <w:lang w:eastAsia="ko-KR"/>
        </w:rPr>
        <w:t>excessive privatisation.</w:t>
      </w:r>
    </w:p>
    <w:p w14:paraId="34A727AF" w14:textId="2275D384" w:rsidR="00EF7B26" w:rsidRDefault="00416F64" w:rsidP="00EF7B26">
      <w:pPr>
        <w:pStyle w:val="Bullet1"/>
        <w:rPr>
          <w:lang w:eastAsia="ko-KR"/>
        </w:rPr>
      </w:pPr>
      <w:r>
        <w:rPr>
          <w:rFonts w:hint="eastAsia"/>
          <w:lang w:eastAsia="ko-KR"/>
        </w:rPr>
        <w:t>I</w:t>
      </w:r>
      <w:r w:rsidR="000954DE">
        <w:rPr>
          <w:rFonts w:hint="eastAsia"/>
          <w:lang w:eastAsia="ko-KR"/>
        </w:rPr>
        <w:t>ncorporate</w:t>
      </w:r>
      <w:r w:rsidR="00E72A10">
        <w:rPr>
          <w:lang w:eastAsia="ko-KR"/>
        </w:rPr>
        <w:t xml:space="preserve"> </w:t>
      </w:r>
      <w:r w:rsidR="00B44C24">
        <w:rPr>
          <w:rFonts w:hint="eastAsia"/>
          <w:lang w:eastAsia="ko-KR"/>
        </w:rPr>
        <w:t xml:space="preserve">legal safeguards such as conservation clauses, </w:t>
      </w:r>
      <w:r w:rsidR="008B3CC8">
        <w:rPr>
          <w:rFonts w:hint="eastAsia"/>
          <w:lang w:eastAsia="ko-KR"/>
        </w:rPr>
        <w:t xml:space="preserve">easements, </w:t>
      </w:r>
      <w:r>
        <w:rPr>
          <w:rFonts w:hint="eastAsia"/>
          <w:lang w:eastAsia="ko-KR"/>
        </w:rPr>
        <w:t>or</w:t>
      </w:r>
      <w:r w:rsidR="00B44C24">
        <w:rPr>
          <w:rFonts w:hint="eastAsia"/>
          <w:lang w:eastAsia="ko-KR"/>
        </w:rPr>
        <w:t xml:space="preserve"> reversion rights to </w:t>
      </w:r>
      <w:r w:rsidR="00E72A10">
        <w:rPr>
          <w:lang w:eastAsia="ko-KR"/>
        </w:rPr>
        <w:t>e</w:t>
      </w:r>
      <w:r w:rsidR="008B3CC8">
        <w:rPr>
          <w:rFonts w:hint="eastAsia"/>
          <w:lang w:eastAsia="ko-KR"/>
        </w:rPr>
        <w:t>nsure</w:t>
      </w:r>
      <w:r w:rsidR="00B44C24">
        <w:rPr>
          <w:rFonts w:hint="eastAsia"/>
          <w:lang w:eastAsia="ko-KR"/>
        </w:rPr>
        <w:t xml:space="preserve"> </w:t>
      </w:r>
      <w:r w:rsidR="00175710">
        <w:rPr>
          <w:rFonts w:hint="eastAsia"/>
          <w:lang w:eastAsia="ko-KR"/>
        </w:rPr>
        <w:t xml:space="preserve">protection in </w:t>
      </w:r>
      <w:r w:rsidR="00244AF8">
        <w:rPr>
          <w:rFonts w:hint="eastAsia"/>
          <w:lang w:eastAsia="ko-KR"/>
        </w:rPr>
        <w:t xml:space="preserve">the event of </w:t>
      </w:r>
      <w:r w:rsidR="00175710">
        <w:rPr>
          <w:rFonts w:hint="eastAsia"/>
          <w:lang w:eastAsia="ko-KR"/>
        </w:rPr>
        <w:t>case of misuse or neglect.</w:t>
      </w:r>
    </w:p>
    <w:p w14:paraId="03F8BB14" w14:textId="5E3DA84B" w:rsidR="0049328E" w:rsidRDefault="0049328E" w:rsidP="0049328E">
      <w:pPr>
        <w:pStyle w:val="Heading2"/>
        <w:rPr>
          <w:lang w:eastAsia="ko-KR"/>
        </w:rPr>
      </w:pPr>
      <w:bookmarkStart w:id="11" w:name="_Toc195121594"/>
      <w:r>
        <w:rPr>
          <w:rFonts w:hint="eastAsia"/>
          <w:lang w:eastAsia="ko-KR"/>
        </w:rPr>
        <w:t>Continuity of AtoN oPERATIONS</w:t>
      </w:r>
      <w:bookmarkEnd w:id="11"/>
    </w:p>
    <w:p w14:paraId="0F9CB4E2" w14:textId="77777777" w:rsidR="0049328E" w:rsidRDefault="0049328E" w:rsidP="0049328E">
      <w:pPr>
        <w:pStyle w:val="Heading2separationline"/>
        <w:rPr>
          <w:lang w:eastAsia="ko-KR"/>
        </w:rPr>
      </w:pPr>
    </w:p>
    <w:p w14:paraId="73D977F4" w14:textId="62DAD0F4" w:rsidR="00B44C24" w:rsidRDefault="00B44C24" w:rsidP="0077362E">
      <w:pPr>
        <w:pStyle w:val="Bullet1"/>
        <w:numPr>
          <w:ilvl w:val="0"/>
          <w:numId w:val="0"/>
        </w:numPr>
        <w:rPr>
          <w:lang w:eastAsia="ko-KR"/>
        </w:rPr>
      </w:pPr>
      <w:r>
        <w:rPr>
          <w:lang w:eastAsia="ko-KR"/>
        </w:rPr>
        <w:t xml:space="preserve">Where only part of </w:t>
      </w:r>
      <w:r w:rsidRPr="007B6D8D">
        <w:rPr>
          <w:color w:val="auto"/>
          <w:lang w:eastAsia="ko-KR"/>
        </w:rPr>
        <w:t>a</w:t>
      </w:r>
      <w:r w:rsidR="000044E8" w:rsidRPr="007B6D8D">
        <w:rPr>
          <w:rFonts w:hint="eastAsia"/>
          <w:color w:val="auto"/>
          <w:lang w:eastAsia="ko-KR"/>
        </w:rPr>
        <w:t xml:space="preserve"> lighthouse</w:t>
      </w:r>
      <w:r w:rsidRPr="007B6D8D">
        <w:rPr>
          <w:color w:val="auto"/>
          <w:lang w:eastAsia="ko-KR"/>
        </w:rPr>
        <w:t xml:space="preserve"> </w:t>
      </w:r>
      <w:r>
        <w:rPr>
          <w:lang w:eastAsia="ko-KR"/>
        </w:rPr>
        <w:t xml:space="preserve">site is to be transferred, </w:t>
      </w:r>
      <w:r w:rsidR="00E72A10">
        <w:rPr>
          <w:lang w:eastAsia="ko-KR"/>
        </w:rPr>
        <w:t xml:space="preserve">and </w:t>
      </w:r>
      <w:proofErr w:type="spellStart"/>
      <w:r w:rsidR="00E72A10">
        <w:rPr>
          <w:lang w:eastAsia="ko-KR"/>
        </w:rPr>
        <w:t>AtoN</w:t>
      </w:r>
      <w:proofErr w:type="spellEnd"/>
      <w:r w:rsidR="00E72A10">
        <w:rPr>
          <w:lang w:eastAsia="ko-KR"/>
        </w:rPr>
        <w:t xml:space="preserve"> operational management is to be retained by the existing </w:t>
      </w:r>
      <w:proofErr w:type="spellStart"/>
      <w:r w:rsidR="00E72A10">
        <w:rPr>
          <w:lang w:eastAsia="ko-KR"/>
        </w:rPr>
        <w:t>AtoN</w:t>
      </w:r>
      <w:proofErr w:type="spellEnd"/>
      <w:r w:rsidR="00E72A10">
        <w:rPr>
          <w:lang w:eastAsia="ko-KR"/>
        </w:rPr>
        <w:t xml:space="preserve"> </w:t>
      </w:r>
      <w:r w:rsidR="001E5837">
        <w:rPr>
          <w:rFonts w:hint="eastAsia"/>
          <w:lang w:eastAsia="ko-KR"/>
        </w:rPr>
        <w:t>authority</w:t>
      </w:r>
      <w:r w:rsidR="00E72A10">
        <w:rPr>
          <w:lang w:eastAsia="ko-KR"/>
        </w:rPr>
        <w:t xml:space="preserve">, </w:t>
      </w:r>
      <w:r>
        <w:rPr>
          <w:lang w:eastAsia="ko-KR"/>
        </w:rPr>
        <w:t xml:space="preserve">the following </w:t>
      </w:r>
      <w:r w:rsidR="00EB0E01">
        <w:rPr>
          <w:lang w:eastAsia="ko-KR"/>
        </w:rPr>
        <w:t>points are recommended for consideration</w:t>
      </w:r>
      <w:r>
        <w:rPr>
          <w:lang w:eastAsia="ko-KR"/>
        </w:rPr>
        <w:t xml:space="preserve">: </w:t>
      </w:r>
    </w:p>
    <w:p w14:paraId="07D7D36C" w14:textId="124B5E29" w:rsidR="0049328E" w:rsidRDefault="00E72A10" w:rsidP="0049328E">
      <w:pPr>
        <w:pStyle w:val="Bullet1"/>
        <w:rPr>
          <w:lang w:eastAsia="ko-KR"/>
        </w:rPr>
      </w:pPr>
      <w:r>
        <w:rPr>
          <w:lang w:eastAsia="ko-KR"/>
        </w:rPr>
        <w:t xml:space="preserve">Favour </w:t>
      </w:r>
      <w:r w:rsidR="00B44C24">
        <w:rPr>
          <w:lang w:eastAsia="ko-KR"/>
        </w:rPr>
        <w:t xml:space="preserve">transfer agreements </w:t>
      </w:r>
      <w:r>
        <w:rPr>
          <w:lang w:eastAsia="ko-KR"/>
        </w:rPr>
        <w:t xml:space="preserve">that </w:t>
      </w:r>
      <w:r w:rsidR="001E5837">
        <w:rPr>
          <w:rFonts w:hint="eastAsia"/>
          <w:lang w:eastAsia="ko-KR"/>
        </w:rPr>
        <w:t>allow</w:t>
      </w:r>
      <w:r w:rsidR="00B44C24">
        <w:rPr>
          <w:lang w:eastAsia="ko-KR"/>
        </w:rPr>
        <w:t xml:space="preserve"> </w:t>
      </w:r>
      <w:r w:rsidR="0049328E">
        <w:rPr>
          <w:rFonts w:hint="eastAsia"/>
          <w:lang w:eastAsia="ko-KR"/>
        </w:rPr>
        <w:t xml:space="preserve">access </w:t>
      </w:r>
      <w:r w:rsidR="001E5837">
        <w:rPr>
          <w:rFonts w:hint="eastAsia"/>
          <w:lang w:eastAsia="ko-KR"/>
        </w:rPr>
        <w:t xml:space="preserve">to, </w:t>
      </w:r>
      <w:r w:rsidR="0049328E">
        <w:rPr>
          <w:rFonts w:hint="eastAsia"/>
          <w:lang w:eastAsia="ko-KR"/>
        </w:rPr>
        <w:t xml:space="preserve">and </w:t>
      </w:r>
      <w:r w:rsidR="00F11837">
        <w:rPr>
          <w:rFonts w:hint="eastAsia"/>
          <w:lang w:eastAsia="ko-KR"/>
        </w:rPr>
        <w:t xml:space="preserve">operational </w:t>
      </w:r>
      <w:r w:rsidR="0049328E">
        <w:rPr>
          <w:rFonts w:hint="eastAsia"/>
          <w:lang w:eastAsia="ko-KR"/>
        </w:rPr>
        <w:t xml:space="preserve">control </w:t>
      </w:r>
      <w:r w:rsidR="00F11837">
        <w:rPr>
          <w:rFonts w:hint="eastAsia"/>
          <w:lang w:eastAsia="ko-KR"/>
        </w:rPr>
        <w:t>over</w:t>
      </w:r>
      <w:r w:rsidR="001E5837">
        <w:rPr>
          <w:rFonts w:hint="eastAsia"/>
          <w:lang w:eastAsia="ko-KR"/>
        </w:rPr>
        <w:t>, any</w:t>
      </w:r>
      <w:r w:rsidR="0049328E">
        <w:rPr>
          <w:rFonts w:hint="eastAsia"/>
          <w:lang w:eastAsia="ko-KR"/>
        </w:rPr>
        <w:t xml:space="preserve"> equipment </w:t>
      </w:r>
      <w:r w:rsidR="00F11837">
        <w:rPr>
          <w:rFonts w:hint="eastAsia"/>
          <w:lang w:eastAsia="ko-KR"/>
        </w:rPr>
        <w:t xml:space="preserve">or </w:t>
      </w:r>
      <w:r w:rsidR="0049328E">
        <w:rPr>
          <w:rFonts w:hint="eastAsia"/>
          <w:lang w:eastAsia="ko-KR"/>
        </w:rPr>
        <w:t xml:space="preserve">land required for </w:t>
      </w:r>
      <w:proofErr w:type="spellStart"/>
      <w:r w:rsidR="0049328E">
        <w:rPr>
          <w:rFonts w:hint="eastAsia"/>
          <w:lang w:eastAsia="ko-KR"/>
        </w:rPr>
        <w:t>AtoN</w:t>
      </w:r>
      <w:proofErr w:type="spellEnd"/>
      <w:r w:rsidR="0049328E">
        <w:rPr>
          <w:rFonts w:hint="eastAsia"/>
          <w:lang w:eastAsia="ko-KR"/>
        </w:rPr>
        <w:t xml:space="preserve"> service</w:t>
      </w:r>
      <w:r w:rsidR="001E5837">
        <w:rPr>
          <w:rFonts w:hint="eastAsia"/>
          <w:lang w:eastAsia="ko-KR"/>
        </w:rPr>
        <w:t>s</w:t>
      </w:r>
      <w:r w:rsidR="0049328E">
        <w:rPr>
          <w:rFonts w:hint="eastAsia"/>
          <w:lang w:eastAsia="ko-KR"/>
        </w:rPr>
        <w:t>.</w:t>
      </w:r>
    </w:p>
    <w:p w14:paraId="169AAF2B" w14:textId="49595CFD" w:rsidR="0049328E" w:rsidRDefault="00FF6D02" w:rsidP="0049328E">
      <w:pPr>
        <w:pStyle w:val="Bullet1"/>
        <w:rPr>
          <w:lang w:eastAsia="ko-KR"/>
        </w:rPr>
      </w:pPr>
      <w:r>
        <w:rPr>
          <w:rFonts w:hint="eastAsia"/>
          <w:lang w:eastAsia="ko-KR"/>
        </w:rPr>
        <w:t>Establish</w:t>
      </w:r>
      <w:r w:rsidR="0049328E">
        <w:rPr>
          <w:rFonts w:hint="eastAsia"/>
          <w:lang w:eastAsia="ko-KR"/>
        </w:rPr>
        <w:t xml:space="preserve"> right-of-access clauses </w:t>
      </w:r>
      <w:r w:rsidR="001E5837">
        <w:rPr>
          <w:rFonts w:hint="eastAsia"/>
          <w:lang w:eastAsia="ko-KR"/>
        </w:rPr>
        <w:t>within</w:t>
      </w:r>
      <w:r w:rsidR="0049328E">
        <w:rPr>
          <w:rFonts w:hint="eastAsia"/>
          <w:lang w:eastAsia="ko-KR"/>
        </w:rPr>
        <w:t xml:space="preserve"> </w:t>
      </w:r>
      <w:r>
        <w:rPr>
          <w:rFonts w:hint="eastAsia"/>
          <w:lang w:eastAsia="ko-KR"/>
        </w:rPr>
        <w:t>transfer or lease agreements</w:t>
      </w:r>
      <w:r w:rsidR="0025749D">
        <w:rPr>
          <w:rFonts w:hint="eastAsia"/>
          <w:lang w:eastAsia="ko-KR"/>
        </w:rPr>
        <w:t xml:space="preserve"> to </w:t>
      </w:r>
      <w:r w:rsidR="005E5D37">
        <w:rPr>
          <w:rFonts w:hint="eastAsia"/>
          <w:lang w:eastAsia="ko-KR"/>
        </w:rPr>
        <w:t>safeguard</w:t>
      </w:r>
      <w:r w:rsidR="0025749D">
        <w:rPr>
          <w:rFonts w:hint="eastAsia"/>
          <w:lang w:eastAsia="ko-KR"/>
        </w:rPr>
        <w:t xml:space="preserve"> future </w:t>
      </w:r>
      <w:proofErr w:type="spellStart"/>
      <w:r w:rsidR="0025749D">
        <w:rPr>
          <w:rFonts w:hint="eastAsia"/>
          <w:lang w:eastAsia="ko-KR"/>
        </w:rPr>
        <w:t>AtoN</w:t>
      </w:r>
      <w:proofErr w:type="spellEnd"/>
      <w:r w:rsidR="0025749D">
        <w:rPr>
          <w:rFonts w:hint="eastAsia"/>
          <w:lang w:eastAsia="ko-KR"/>
        </w:rPr>
        <w:t xml:space="preserve"> </w:t>
      </w:r>
      <w:r w:rsidR="005E5D37">
        <w:rPr>
          <w:rFonts w:hint="eastAsia"/>
          <w:lang w:eastAsia="ko-KR"/>
        </w:rPr>
        <w:t>requirements</w:t>
      </w:r>
      <w:r w:rsidR="0025749D">
        <w:rPr>
          <w:rFonts w:hint="eastAsia"/>
          <w:lang w:eastAsia="ko-KR"/>
        </w:rPr>
        <w:t>.</w:t>
      </w:r>
    </w:p>
    <w:p w14:paraId="4AE15388" w14:textId="0CE3782E" w:rsidR="00D11FCE" w:rsidRDefault="0025749D" w:rsidP="00D11FCE">
      <w:pPr>
        <w:pStyle w:val="Bullet1"/>
        <w:rPr>
          <w:lang w:eastAsia="ko-KR"/>
        </w:rPr>
      </w:pPr>
      <w:r>
        <w:rPr>
          <w:rFonts w:hint="eastAsia"/>
          <w:lang w:eastAsia="ko-KR"/>
        </w:rPr>
        <w:t>Implement</w:t>
      </w:r>
      <w:r w:rsidR="00D11FCE">
        <w:rPr>
          <w:lang w:eastAsia="ko-KR"/>
        </w:rPr>
        <w:t xml:space="preserve"> shared land</w:t>
      </w:r>
      <w:r>
        <w:rPr>
          <w:rFonts w:hint="eastAsia"/>
          <w:lang w:eastAsia="ko-KR"/>
        </w:rPr>
        <w:t>-use</w:t>
      </w:r>
      <w:r w:rsidR="00D11FCE">
        <w:rPr>
          <w:lang w:eastAsia="ko-KR"/>
        </w:rPr>
        <w:t xml:space="preserve"> agreements</w:t>
      </w:r>
      <w:r w:rsidR="005E5D37">
        <w:rPr>
          <w:rFonts w:hint="eastAsia"/>
          <w:lang w:eastAsia="ko-KR"/>
        </w:rPr>
        <w:t xml:space="preserve"> that clearly</w:t>
      </w:r>
      <w:r w:rsidR="00D11FCE">
        <w:rPr>
          <w:lang w:eastAsia="ko-KR"/>
        </w:rPr>
        <w:t xml:space="preserve"> </w:t>
      </w:r>
      <w:r>
        <w:rPr>
          <w:rFonts w:hint="eastAsia"/>
          <w:lang w:eastAsia="ko-KR"/>
        </w:rPr>
        <w:t>define</w:t>
      </w:r>
      <w:r w:rsidR="00D11FCE">
        <w:rPr>
          <w:lang w:eastAsia="ko-KR"/>
        </w:rPr>
        <w:t xml:space="preserve"> maintenance responsibilities</w:t>
      </w:r>
      <w:r>
        <w:rPr>
          <w:rFonts w:hint="eastAsia"/>
          <w:lang w:eastAsia="ko-KR"/>
        </w:rPr>
        <w:t xml:space="preserve"> between parties</w:t>
      </w:r>
      <w:r w:rsidR="00D11FCE">
        <w:rPr>
          <w:lang w:eastAsia="ko-KR"/>
        </w:rPr>
        <w:t xml:space="preserve">. </w:t>
      </w:r>
    </w:p>
    <w:p w14:paraId="5D44C666" w14:textId="4E8D16AA" w:rsidR="00F11837" w:rsidRDefault="00F11837" w:rsidP="00D11FCE">
      <w:pPr>
        <w:pStyle w:val="Bullet1"/>
        <w:rPr>
          <w:lang w:eastAsia="ko-KR"/>
        </w:rPr>
      </w:pPr>
      <w:r>
        <w:rPr>
          <w:rFonts w:hint="eastAsia"/>
          <w:lang w:eastAsia="ko-KR"/>
        </w:rPr>
        <w:t xml:space="preserve">Consider </w:t>
      </w:r>
      <w:r w:rsidR="005E5D37">
        <w:rPr>
          <w:rFonts w:hint="eastAsia"/>
          <w:lang w:eastAsia="ko-KR"/>
        </w:rPr>
        <w:t xml:space="preserve">potential </w:t>
      </w:r>
      <w:r>
        <w:rPr>
          <w:rFonts w:hint="eastAsia"/>
          <w:lang w:eastAsia="ko-KR"/>
        </w:rPr>
        <w:t xml:space="preserve">future reactivation or backup </w:t>
      </w:r>
      <w:proofErr w:type="spellStart"/>
      <w:r>
        <w:rPr>
          <w:rFonts w:hint="eastAsia"/>
          <w:lang w:eastAsia="ko-KR"/>
        </w:rPr>
        <w:t>AtoN</w:t>
      </w:r>
      <w:proofErr w:type="spellEnd"/>
      <w:r>
        <w:rPr>
          <w:rFonts w:hint="eastAsia"/>
          <w:lang w:eastAsia="ko-KR"/>
        </w:rPr>
        <w:t xml:space="preserve"> use when de</w:t>
      </w:r>
      <w:r w:rsidR="005E5D37">
        <w:rPr>
          <w:rFonts w:hint="eastAsia"/>
          <w:lang w:eastAsia="ko-KR"/>
        </w:rPr>
        <w:t>termining</w:t>
      </w:r>
      <w:r>
        <w:rPr>
          <w:rFonts w:hint="eastAsia"/>
          <w:lang w:eastAsia="ko-KR"/>
        </w:rPr>
        <w:t xml:space="preserve"> site boundaries or rights.</w:t>
      </w:r>
    </w:p>
    <w:p w14:paraId="30AC2286" w14:textId="4782BEC2" w:rsidR="0049328E" w:rsidRDefault="0049328E" w:rsidP="0049328E">
      <w:pPr>
        <w:pStyle w:val="Heading2"/>
        <w:rPr>
          <w:lang w:eastAsia="ko-KR"/>
        </w:rPr>
      </w:pPr>
      <w:bookmarkStart w:id="12" w:name="_Toc195121595"/>
      <w:r>
        <w:rPr>
          <w:rFonts w:hint="eastAsia"/>
          <w:lang w:eastAsia="ko-KR"/>
        </w:rPr>
        <w:t>Heritage Protection Measures</w:t>
      </w:r>
      <w:bookmarkEnd w:id="12"/>
    </w:p>
    <w:p w14:paraId="6E1B6832" w14:textId="77777777" w:rsidR="0049328E" w:rsidRDefault="0049328E" w:rsidP="0049328E">
      <w:pPr>
        <w:pStyle w:val="Heading2separationline"/>
        <w:rPr>
          <w:lang w:eastAsia="ko-KR"/>
        </w:rPr>
      </w:pPr>
    </w:p>
    <w:p w14:paraId="2E21479C" w14:textId="51365D68" w:rsidR="00B44C24" w:rsidRDefault="00B44C24" w:rsidP="0077362E">
      <w:pPr>
        <w:pStyle w:val="Bullet1"/>
        <w:numPr>
          <w:ilvl w:val="0"/>
          <w:numId w:val="0"/>
        </w:numPr>
        <w:rPr>
          <w:lang w:eastAsia="ko-KR"/>
        </w:rPr>
      </w:pPr>
      <w:r>
        <w:rPr>
          <w:lang w:eastAsia="ko-KR"/>
        </w:rPr>
        <w:t xml:space="preserve">When transferring surplus lighthouse property to another </w:t>
      </w:r>
      <w:r w:rsidR="00E72A10">
        <w:rPr>
          <w:lang w:eastAsia="ko-KR"/>
        </w:rPr>
        <w:t>entity</w:t>
      </w:r>
      <w:r>
        <w:rPr>
          <w:lang w:eastAsia="ko-KR"/>
        </w:rPr>
        <w:t>, the following considerations are recommended</w:t>
      </w:r>
      <w:r w:rsidR="00464E00">
        <w:rPr>
          <w:rFonts w:hint="eastAsia"/>
          <w:lang w:eastAsia="ko-KR"/>
        </w:rPr>
        <w:t xml:space="preserve"> </w:t>
      </w:r>
      <w:r>
        <w:rPr>
          <w:lang w:eastAsia="ko-KR"/>
        </w:rPr>
        <w:t xml:space="preserve">to </w:t>
      </w:r>
      <w:r w:rsidR="00464E00">
        <w:rPr>
          <w:rFonts w:hint="eastAsia"/>
          <w:lang w:eastAsia="ko-KR"/>
        </w:rPr>
        <w:t xml:space="preserve">ensure the </w:t>
      </w:r>
      <w:r>
        <w:rPr>
          <w:lang w:eastAsia="ko-KR"/>
        </w:rPr>
        <w:t>protect</w:t>
      </w:r>
      <w:r w:rsidR="00464E00">
        <w:rPr>
          <w:rFonts w:hint="eastAsia"/>
          <w:lang w:eastAsia="ko-KR"/>
        </w:rPr>
        <w:t>ion of</w:t>
      </w:r>
      <w:r>
        <w:rPr>
          <w:lang w:eastAsia="ko-KR"/>
        </w:rPr>
        <w:t xml:space="preserve"> the </w:t>
      </w:r>
      <w:r w:rsidR="00464E00">
        <w:rPr>
          <w:rFonts w:hint="eastAsia"/>
          <w:lang w:eastAsia="ko-KR"/>
        </w:rPr>
        <w:t>site</w:t>
      </w:r>
      <w:r w:rsidR="00464E00">
        <w:rPr>
          <w:lang w:eastAsia="ko-KR"/>
        </w:rPr>
        <w:t>’</w:t>
      </w:r>
      <w:r w:rsidR="00464E00">
        <w:rPr>
          <w:rFonts w:hint="eastAsia"/>
          <w:lang w:eastAsia="ko-KR"/>
        </w:rPr>
        <w:t xml:space="preserve">s </w:t>
      </w:r>
      <w:r>
        <w:rPr>
          <w:lang w:eastAsia="ko-KR"/>
        </w:rPr>
        <w:t xml:space="preserve">heritage </w:t>
      </w:r>
      <w:r w:rsidR="00464E00">
        <w:rPr>
          <w:rFonts w:hint="eastAsia"/>
          <w:lang w:eastAsia="ko-KR"/>
        </w:rPr>
        <w:t>value</w:t>
      </w:r>
      <w:r>
        <w:rPr>
          <w:lang w:eastAsia="ko-KR"/>
        </w:rPr>
        <w:t>:</w:t>
      </w:r>
    </w:p>
    <w:p w14:paraId="0A0F99F0" w14:textId="7DBBCEC6" w:rsidR="00B44C24" w:rsidRDefault="00530952" w:rsidP="0049328E">
      <w:pPr>
        <w:pStyle w:val="Bullet1"/>
        <w:rPr>
          <w:lang w:eastAsia="ko-KR"/>
        </w:rPr>
      </w:pPr>
      <w:r>
        <w:rPr>
          <w:rFonts w:hint="eastAsia"/>
          <w:lang w:eastAsia="ko-KR"/>
        </w:rPr>
        <w:t>Ensure prospective owners are</w:t>
      </w:r>
      <w:r w:rsidR="00B44C24">
        <w:rPr>
          <w:lang w:eastAsia="ko-KR"/>
        </w:rPr>
        <w:t xml:space="preserve"> </w:t>
      </w:r>
      <w:r w:rsidR="008E1665">
        <w:rPr>
          <w:rFonts w:hint="eastAsia"/>
          <w:lang w:eastAsia="ko-KR"/>
        </w:rPr>
        <w:t xml:space="preserve">made </w:t>
      </w:r>
      <w:r w:rsidR="00B44C24">
        <w:rPr>
          <w:lang w:eastAsia="ko-KR"/>
        </w:rPr>
        <w:t xml:space="preserve">aware of the </w:t>
      </w:r>
      <w:r>
        <w:rPr>
          <w:rFonts w:hint="eastAsia"/>
          <w:lang w:eastAsia="ko-KR"/>
        </w:rPr>
        <w:t>site</w:t>
      </w:r>
      <w:r>
        <w:rPr>
          <w:lang w:eastAsia="ko-KR"/>
        </w:rPr>
        <w:t>’</w:t>
      </w:r>
      <w:r>
        <w:rPr>
          <w:rFonts w:hint="eastAsia"/>
          <w:lang w:eastAsia="ko-KR"/>
        </w:rPr>
        <w:t xml:space="preserve">s </w:t>
      </w:r>
      <w:r w:rsidR="008E1665">
        <w:rPr>
          <w:rFonts w:hint="eastAsia"/>
          <w:lang w:eastAsia="ko-KR"/>
        </w:rPr>
        <w:t>cultural and historical significance, as well as their associated</w:t>
      </w:r>
      <w:r>
        <w:rPr>
          <w:rFonts w:hint="eastAsia"/>
          <w:lang w:eastAsia="ko-KR"/>
        </w:rPr>
        <w:t xml:space="preserve"> responsibilities.</w:t>
      </w:r>
    </w:p>
    <w:p w14:paraId="114E3816" w14:textId="711C32A5" w:rsidR="00BE17CD" w:rsidRDefault="00BE17CD" w:rsidP="0049328E">
      <w:pPr>
        <w:pStyle w:val="Bullet1"/>
        <w:rPr>
          <w:lang w:eastAsia="ko-KR"/>
        </w:rPr>
      </w:pPr>
      <w:r>
        <w:rPr>
          <w:rFonts w:hint="eastAsia"/>
          <w:lang w:eastAsia="ko-KR"/>
        </w:rPr>
        <w:t xml:space="preserve">Encourage </w:t>
      </w:r>
      <w:r w:rsidR="00566C52">
        <w:rPr>
          <w:rFonts w:hint="eastAsia"/>
          <w:lang w:eastAsia="ko-KR"/>
        </w:rPr>
        <w:t xml:space="preserve">the </w:t>
      </w:r>
      <w:r>
        <w:rPr>
          <w:lang w:eastAsia="ko-KR"/>
        </w:rPr>
        <w:t>inclusion</w:t>
      </w:r>
      <w:r>
        <w:rPr>
          <w:rFonts w:hint="eastAsia"/>
          <w:lang w:eastAsia="ko-KR"/>
        </w:rPr>
        <w:t xml:space="preserve"> of </w:t>
      </w:r>
      <w:r w:rsidR="00566C52">
        <w:rPr>
          <w:rFonts w:hint="eastAsia"/>
          <w:lang w:eastAsia="ko-KR"/>
        </w:rPr>
        <w:t>heritage value statements with</w:t>
      </w:r>
      <w:r>
        <w:rPr>
          <w:rFonts w:hint="eastAsia"/>
          <w:lang w:eastAsia="ko-KR"/>
        </w:rPr>
        <w:t xml:space="preserve">in </w:t>
      </w:r>
      <w:r w:rsidR="00A434D1">
        <w:rPr>
          <w:rFonts w:hint="eastAsia"/>
          <w:lang w:eastAsia="ko-KR"/>
        </w:rPr>
        <w:t xml:space="preserve">the </w:t>
      </w:r>
      <w:r>
        <w:rPr>
          <w:rFonts w:hint="eastAsia"/>
          <w:lang w:eastAsia="ko-KR"/>
        </w:rPr>
        <w:t>transfer documentation.</w:t>
      </w:r>
    </w:p>
    <w:p w14:paraId="1F3740CD" w14:textId="355CB39E" w:rsidR="00B44C24" w:rsidRDefault="00E72A10" w:rsidP="0049328E">
      <w:pPr>
        <w:pStyle w:val="Bullet1"/>
        <w:rPr>
          <w:lang w:eastAsia="ko-KR"/>
        </w:rPr>
      </w:pPr>
      <w:r>
        <w:rPr>
          <w:lang w:eastAsia="ko-KR"/>
        </w:rPr>
        <w:t xml:space="preserve">Seek to </w:t>
      </w:r>
      <w:r w:rsidR="004B643F">
        <w:rPr>
          <w:rFonts w:hint="eastAsia"/>
          <w:lang w:eastAsia="ko-KR"/>
        </w:rPr>
        <w:t xml:space="preserve">provide the new owner </w:t>
      </w:r>
      <w:r w:rsidR="00B44C24">
        <w:rPr>
          <w:lang w:eastAsia="ko-KR"/>
        </w:rPr>
        <w:t xml:space="preserve">with </w:t>
      </w:r>
      <w:r w:rsidR="004B643F">
        <w:rPr>
          <w:rFonts w:hint="eastAsia"/>
          <w:lang w:eastAsia="ko-KR"/>
        </w:rPr>
        <w:t xml:space="preserve">supporting </w:t>
      </w:r>
      <w:r w:rsidR="00A434D1">
        <w:rPr>
          <w:rFonts w:hint="eastAsia"/>
          <w:lang w:eastAsia="ko-KR"/>
        </w:rPr>
        <w:t xml:space="preserve">materials </w:t>
      </w:r>
      <w:r w:rsidR="004B643F">
        <w:rPr>
          <w:rFonts w:hint="eastAsia"/>
          <w:lang w:eastAsia="ko-KR"/>
        </w:rPr>
        <w:t xml:space="preserve">such as historical </w:t>
      </w:r>
      <w:r w:rsidR="00A434D1">
        <w:rPr>
          <w:rFonts w:hint="eastAsia"/>
          <w:lang w:eastAsia="ko-KR"/>
        </w:rPr>
        <w:t>records</w:t>
      </w:r>
      <w:r w:rsidR="004B643F">
        <w:rPr>
          <w:rFonts w:hint="eastAsia"/>
          <w:lang w:eastAsia="ko-KR"/>
        </w:rPr>
        <w:t xml:space="preserve">, </w:t>
      </w:r>
      <w:r w:rsidR="004C0B69">
        <w:rPr>
          <w:rFonts w:hint="eastAsia"/>
          <w:lang w:eastAsia="ko-KR"/>
        </w:rPr>
        <w:t>photographs, or conservation management plans.</w:t>
      </w:r>
    </w:p>
    <w:p w14:paraId="4C75C913" w14:textId="0AC6852C" w:rsidR="00292F07" w:rsidRDefault="00292F07" w:rsidP="0049328E">
      <w:pPr>
        <w:pStyle w:val="Bullet1"/>
        <w:rPr>
          <w:lang w:eastAsia="ko-KR"/>
        </w:rPr>
      </w:pPr>
      <w:r>
        <w:rPr>
          <w:rFonts w:hint="eastAsia"/>
          <w:lang w:eastAsia="ko-KR"/>
        </w:rPr>
        <w:t xml:space="preserve">Use </w:t>
      </w:r>
      <w:r w:rsidR="008F10A6">
        <w:rPr>
          <w:rFonts w:hint="eastAsia"/>
          <w:lang w:eastAsia="ko-KR"/>
        </w:rPr>
        <w:t xml:space="preserve">legal instruments such as </w:t>
      </w:r>
      <w:r>
        <w:rPr>
          <w:rFonts w:hint="eastAsia"/>
          <w:lang w:eastAsia="ko-KR"/>
        </w:rPr>
        <w:t xml:space="preserve">heritage zoning, </w:t>
      </w:r>
      <w:r w:rsidR="00026DC6">
        <w:rPr>
          <w:rFonts w:hint="eastAsia"/>
          <w:lang w:eastAsia="ko-KR"/>
        </w:rPr>
        <w:t xml:space="preserve">statutory </w:t>
      </w:r>
      <w:r>
        <w:rPr>
          <w:rFonts w:hint="eastAsia"/>
          <w:lang w:eastAsia="ko-KR"/>
        </w:rPr>
        <w:t>registration</w:t>
      </w:r>
      <w:r w:rsidR="00563C63">
        <w:rPr>
          <w:rFonts w:hint="eastAsia"/>
          <w:lang w:eastAsia="ko-KR"/>
        </w:rPr>
        <w:t>, or conservation easements to formalise obligations.</w:t>
      </w:r>
    </w:p>
    <w:p w14:paraId="4CD17ADD" w14:textId="043779AC" w:rsidR="00562074" w:rsidRDefault="00562074" w:rsidP="00562074">
      <w:pPr>
        <w:pStyle w:val="Heading2"/>
        <w:rPr>
          <w:lang w:eastAsia="ko-KR"/>
        </w:rPr>
      </w:pPr>
      <w:bookmarkStart w:id="13" w:name="_Toc195121596"/>
      <w:r>
        <w:rPr>
          <w:rFonts w:hint="eastAsia"/>
          <w:lang w:eastAsia="ko-KR"/>
        </w:rPr>
        <w:t>Environmental Safety and Remediation</w:t>
      </w:r>
      <w:bookmarkEnd w:id="13"/>
    </w:p>
    <w:p w14:paraId="05AC51B3" w14:textId="77777777" w:rsidR="00562074" w:rsidRDefault="00562074" w:rsidP="00562074">
      <w:pPr>
        <w:pStyle w:val="Heading2separationline"/>
        <w:rPr>
          <w:lang w:eastAsia="ko-KR"/>
        </w:rPr>
      </w:pPr>
    </w:p>
    <w:p w14:paraId="464400F3" w14:textId="11BD86F0" w:rsidR="00B44C24" w:rsidRDefault="00B44C24" w:rsidP="0077362E">
      <w:pPr>
        <w:pStyle w:val="Bullet1"/>
        <w:numPr>
          <w:ilvl w:val="0"/>
          <w:numId w:val="0"/>
        </w:numPr>
        <w:rPr>
          <w:lang w:eastAsia="ko-KR"/>
        </w:rPr>
      </w:pPr>
      <w:r>
        <w:rPr>
          <w:lang w:eastAsia="ko-KR"/>
        </w:rPr>
        <w:t xml:space="preserve">It is recommended that environmental </w:t>
      </w:r>
      <w:r w:rsidR="00D11FCE">
        <w:rPr>
          <w:lang w:eastAsia="ko-KR"/>
        </w:rPr>
        <w:t xml:space="preserve">safeguards </w:t>
      </w:r>
      <w:r w:rsidR="00F35D2F">
        <w:rPr>
          <w:rFonts w:hint="eastAsia"/>
          <w:lang w:eastAsia="ko-KR"/>
        </w:rPr>
        <w:t>be</w:t>
      </w:r>
      <w:r w:rsidR="00D11FCE">
        <w:rPr>
          <w:lang w:eastAsia="ko-KR"/>
        </w:rPr>
        <w:t xml:space="preserve"> considered when transferring surplus lighthouse property:</w:t>
      </w:r>
    </w:p>
    <w:p w14:paraId="39BC61DA" w14:textId="7644BA5A" w:rsidR="00441841" w:rsidRDefault="00C4010C" w:rsidP="00441841">
      <w:pPr>
        <w:pStyle w:val="Bullet1"/>
        <w:rPr>
          <w:lang w:eastAsia="ko-KR"/>
        </w:rPr>
      </w:pPr>
      <w:r>
        <w:rPr>
          <w:rFonts w:hint="eastAsia"/>
          <w:lang w:eastAsia="ko-KR"/>
        </w:rPr>
        <w:t>C</w:t>
      </w:r>
      <w:r w:rsidR="00562074">
        <w:rPr>
          <w:rFonts w:hint="eastAsia"/>
          <w:lang w:eastAsia="ko-KR"/>
        </w:rPr>
        <w:t xml:space="preserve">onduct </w:t>
      </w:r>
      <w:r w:rsidR="006848A6">
        <w:rPr>
          <w:rFonts w:hint="eastAsia"/>
          <w:lang w:eastAsia="ko-KR"/>
        </w:rPr>
        <w:t xml:space="preserve">pre-transfer </w:t>
      </w:r>
      <w:r w:rsidR="00562074">
        <w:rPr>
          <w:rFonts w:hint="eastAsia"/>
          <w:lang w:eastAsia="ko-KR"/>
        </w:rPr>
        <w:t xml:space="preserve">environmental risk assessments </w:t>
      </w:r>
      <w:r w:rsidR="006848A6">
        <w:rPr>
          <w:rFonts w:hint="eastAsia"/>
          <w:lang w:eastAsia="ko-KR"/>
        </w:rPr>
        <w:t xml:space="preserve">to identify potential hazards </w:t>
      </w:r>
      <w:r w:rsidR="00562074">
        <w:rPr>
          <w:rFonts w:hint="eastAsia"/>
          <w:lang w:eastAsia="ko-KR"/>
        </w:rPr>
        <w:t>(e</w:t>
      </w:r>
      <w:r w:rsidR="00441841">
        <w:rPr>
          <w:rFonts w:hint="eastAsia"/>
          <w:lang w:eastAsia="ko-KR"/>
        </w:rPr>
        <w:t>.g. asbestos,</w:t>
      </w:r>
      <w:r w:rsidR="006E63B5">
        <w:rPr>
          <w:rFonts w:hint="eastAsia"/>
          <w:lang w:eastAsia="ko-KR"/>
        </w:rPr>
        <w:t xml:space="preserve"> fuel</w:t>
      </w:r>
      <w:r w:rsidR="00441841">
        <w:rPr>
          <w:rFonts w:hint="eastAsia"/>
          <w:lang w:eastAsia="ko-KR"/>
        </w:rPr>
        <w:t xml:space="preserve"> tanks, mercury</w:t>
      </w:r>
      <w:r w:rsidR="00D11FCE">
        <w:rPr>
          <w:lang w:eastAsia="ko-KR"/>
        </w:rPr>
        <w:t xml:space="preserve">, </w:t>
      </w:r>
      <w:r w:rsidR="004920D1">
        <w:rPr>
          <w:rFonts w:hint="eastAsia"/>
          <w:lang w:eastAsia="ko-KR"/>
        </w:rPr>
        <w:t xml:space="preserve">or </w:t>
      </w:r>
      <w:r w:rsidR="00D11FCE">
        <w:rPr>
          <w:lang w:eastAsia="ko-KR"/>
        </w:rPr>
        <w:t>lead</w:t>
      </w:r>
      <w:r w:rsidR="004920D1">
        <w:rPr>
          <w:rFonts w:hint="eastAsia"/>
          <w:lang w:eastAsia="ko-KR"/>
        </w:rPr>
        <w:t xml:space="preserve">-based </w:t>
      </w:r>
      <w:r w:rsidR="00D11FCE">
        <w:rPr>
          <w:lang w:eastAsia="ko-KR"/>
        </w:rPr>
        <w:t>paint</w:t>
      </w:r>
      <w:r w:rsidR="00441841">
        <w:rPr>
          <w:rFonts w:hint="eastAsia"/>
          <w:lang w:eastAsia="ko-KR"/>
        </w:rPr>
        <w:t>)</w:t>
      </w:r>
      <w:r w:rsidR="00930441">
        <w:rPr>
          <w:rFonts w:hint="eastAsia"/>
          <w:lang w:eastAsia="ko-KR"/>
        </w:rPr>
        <w:t>.</w:t>
      </w:r>
    </w:p>
    <w:p w14:paraId="16CC3996" w14:textId="1EE01965" w:rsidR="00DA5D8F" w:rsidRDefault="004920D1" w:rsidP="00DA5D8F">
      <w:pPr>
        <w:pStyle w:val="Bullet1"/>
        <w:rPr>
          <w:lang w:eastAsia="ko-KR"/>
        </w:rPr>
      </w:pPr>
      <w:r>
        <w:rPr>
          <w:rFonts w:hint="eastAsia"/>
          <w:lang w:eastAsia="ko-KR"/>
        </w:rPr>
        <w:t xml:space="preserve">Where feasible, implement </w:t>
      </w:r>
      <w:r w:rsidR="00441841">
        <w:rPr>
          <w:rFonts w:hint="eastAsia"/>
          <w:lang w:eastAsia="ko-KR"/>
        </w:rPr>
        <w:t xml:space="preserve">site remediation or mitigation plans </w:t>
      </w:r>
      <w:r>
        <w:rPr>
          <w:rFonts w:hint="eastAsia"/>
          <w:lang w:eastAsia="ko-KR"/>
        </w:rPr>
        <w:t>to address identified risks.</w:t>
      </w:r>
    </w:p>
    <w:p w14:paraId="4D545C39" w14:textId="476E21F7" w:rsidR="00795F04" w:rsidRPr="00795F04" w:rsidRDefault="00117AC3" w:rsidP="00795F04">
      <w:pPr>
        <w:pStyle w:val="Heading2"/>
        <w:rPr>
          <w:lang w:eastAsia="ko-KR"/>
        </w:rPr>
      </w:pPr>
      <w:bookmarkStart w:id="14" w:name="_Toc195121597"/>
      <w:r>
        <w:rPr>
          <w:rFonts w:hint="eastAsia"/>
          <w:lang w:eastAsia="ko-KR"/>
        </w:rPr>
        <w:t>Legal and Instituitional Instruments</w:t>
      </w:r>
      <w:bookmarkEnd w:id="14"/>
    </w:p>
    <w:p w14:paraId="3CD974CC" w14:textId="77777777" w:rsidR="00117AC3" w:rsidRDefault="00117AC3" w:rsidP="00117AC3">
      <w:pPr>
        <w:pStyle w:val="Heading2separationline"/>
        <w:rPr>
          <w:lang w:eastAsia="ko-KR"/>
        </w:rPr>
      </w:pPr>
    </w:p>
    <w:p w14:paraId="0C9E26A4" w14:textId="2A3918B2" w:rsidR="00795F04" w:rsidRDefault="00795F04" w:rsidP="0077362E">
      <w:pPr>
        <w:pStyle w:val="Bullet1"/>
        <w:numPr>
          <w:ilvl w:val="0"/>
          <w:numId w:val="0"/>
        </w:numPr>
        <w:rPr>
          <w:lang w:eastAsia="ko-KR"/>
        </w:rPr>
      </w:pPr>
      <w:r>
        <w:rPr>
          <w:rFonts w:hint="eastAsia"/>
          <w:lang w:eastAsia="ko-KR"/>
        </w:rPr>
        <w:lastRenderedPageBreak/>
        <w:t>The</w:t>
      </w:r>
      <w:r>
        <w:rPr>
          <w:lang w:eastAsia="ko-KR"/>
        </w:rPr>
        <w:t xml:space="preserve"> following </w:t>
      </w:r>
      <w:r>
        <w:rPr>
          <w:rFonts w:hint="eastAsia"/>
          <w:lang w:eastAsia="ko-KR"/>
        </w:rPr>
        <w:t xml:space="preserve">considerations </w:t>
      </w:r>
      <w:r w:rsidR="00990CEC">
        <w:rPr>
          <w:rFonts w:hint="eastAsia"/>
          <w:lang w:eastAsia="ko-KR"/>
        </w:rPr>
        <w:t>support</w:t>
      </w:r>
      <w:r>
        <w:rPr>
          <w:lang w:eastAsia="ko-KR"/>
        </w:rPr>
        <w:t xml:space="preserve"> </w:t>
      </w:r>
      <w:r>
        <w:rPr>
          <w:rFonts w:hint="eastAsia"/>
          <w:lang w:eastAsia="ko-KR"/>
        </w:rPr>
        <w:t xml:space="preserve">the transfer of surplus lighthouse property </w:t>
      </w:r>
      <w:r w:rsidR="00990CEC">
        <w:rPr>
          <w:rFonts w:hint="eastAsia"/>
          <w:lang w:eastAsia="ko-KR"/>
        </w:rPr>
        <w:t>in a way that</w:t>
      </w:r>
      <w:r>
        <w:rPr>
          <w:lang w:eastAsia="ko-KR"/>
        </w:rPr>
        <w:t xml:space="preserve"> it </w:t>
      </w:r>
      <w:r>
        <w:rPr>
          <w:rFonts w:hint="eastAsia"/>
          <w:lang w:eastAsia="ko-KR"/>
        </w:rPr>
        <w:t xml:space="preserve">aligns with long-term public value, </w:t>
      </w:r>
      <w:r w:rsidR="00E10436">
        <w:rPr>
          <w:rFonts w:hint="eastAsia"/>
          <w:lang w:eastAsia="ko-KR"/>
        </w:rPr>
        <w:t>complies with</w:t>
      </w:r>
      <w:r>
        <w:rPr>
          <w:rFonts w:hint="eastAsia"/>
          <w:lang w:eastAsia="ko-KR"/>
        </w:rPr>
        <w:t xml:space="preserve"> international norms, and </w:t>
      </w:r>
      <w:r w:rsidR="00E10436">
        <w:rPr>
          <w:rFonts w:hint="eastAsia"/>
          <w:lang w:eastAsia="ko-KR"/>
        </w:rPr>
        <w:t>promotes</w:t>
      </w:r>
      <w:r>
        <w:rPr>
          <w:rFonts w:hint="eastAsia"/>
          <w:lang w:eastAsia="ko-KR"/>
        </w:rPr>
        <w:t xml:space="preserve"> sustainable outcomes</w:t>
      </w:r>
      <w:r w:rsidR="00E10436">
        <w:rPr>
          <w:rFonts w:hint="eastAsia"/>
          <w:lang w:eastAsia="ko-KR"/>
        </w:rPr>
        <w:t>:</w:t>
      </w:r>
    </w:p>
    <w:p w14:paraId="4A10D14C" w14:textId="69D1D1BF" w:rsidR="00117AC3" w:rsidRDefault="000F2C51" w:rsidP="00117AC3">
      <w:pPr>
        <w:pStyle w:val="Bullet1"/>
        <w:rPr>
          <w:lang w:eastAsia="ko-KR"/>
        </w:rPr>
      </w:pPr>
      <w:r w:rsidRPr="000F2C51">
        <w:rPr>
          <w:lang w:eastAsia="ko-KR"/>
        </w:rPr>
        <w:t xml:space="preserve">Include enforceable conditions in transfer </w:t>
      </w:r>
      <w:r w:rsidR="00F960E2">
        <w:rPr>
          <w:rFonts w:hint="eastAsia"/>
          <w:lang w:eastAsia="ko-KR"/>
        </w:rPr>
        <w:t>agreements</w:t>
      </w:r>
      <w:r w:rsidRPr="000F2C51">
        <w:rPr>
          <w:lang w:eastAsia="ko-KR"/>
        </w:rPr>
        <w:t>, such as reversion rights, periodic review</w:t>
      </w:r>
      <w:r w:rsidR="00F960E2">
        <w:rPr>
          <w:rFonts w:hint="eastAsia"/>
          <w:lang w:eastAsia="ko-KR"/>
        </w:rPr>
        <w:t xml:space="preserve"> clauses</w:t>
      </w:r>
      <w:r w:rsidRPr="000F2C51">
        <w:rPr>
          <w:lang w:eastAsia="ko-KR"/>
        </w:rPr>
        <w:t>, or penalties for non-compliance.</w:t>
      </w:r>
    </w:p>
    <w:p w14:paraId="33929BE4" w14:textId="2223527C" w:rsidR="00E314B5" w:rsidRDefault="00774113" w:rsidP="00117AC3">
      <w:pPr>
        <w:pStyle w:val="Bullet1"/>
        <w:rPr>
          <w:lang w:eastAsia="ko-KR"/>
        </w:rPr>
      </w:pPr>
      <w:r w:rsidRPr="00774113">
        <w:rPr>
          <w:lang w:eastAsia="ko-KR"/>
        </w:rPr>
        <w:t xml:space="preserve">Clearly assign long-term institutional responsibility to a </w:t>
      </w:r>
      <w:r w:rsidR="00F960E2">
        <w:rPr>
          <w:rFonts w:hint="eastAsia"/>
          <w:lang w:eastAsia="ko-KR"/>
        </w:rPr>
        <w:t>competent</w:t>
      </w:r>
      <w:r w:rsidRPr="00774113">
        <w:rPr>
          <w:lang w:eastAsia="ko-KR"/>
        </w:rPr>
        <w:t xml:space="preserve"> and accountable</w:t>
      </w:r>
      <w:r w:rsidR="00F960E2">
        <w:rPr>
          <w:rFonts w:hint="eastAsia"/>
          <w:lang w:eastAsia="ko-KR"/>
        </w:rPr>
        <w:t xml:space="preserve"> organisation</w:t>
      </w:r>
      <w:r w:rsidRPr="00774113">
        <w:rPr>
          <w:lang w:eastAsia="ko-KR"/>
        </w:rPr>
        <w:t>.</w:t>
      </w:r>
    </w:p>
    <w:p w14:paraId="2A8EC81B" w14:textId="1B3D6675" w:rsidR="00B65F64" w:rsidRDefault="00B65F64" w:rsidP="00117AC3">
      <w:pPr>
        <w:pStyle w:val="Bullet1"/>
        <w:rPr>
          <w:lang w:eastAsia="ko-KR"/>
        </w:rPr>
      </w:pPr>
      <w:r w:rsidRPr="00B65F64">
        <w:rPr>
          <w:lang w:eastAsia="ko-KR"/>
        </w:rPr>
        <w:t xml:space="preserve">Ensure </w:t>
      </w:r>
      <w:r w:rsidR="00F960E2">
        <w:rPr>
          <w:rFonts w:hint="eastAsia"/>
          <w:lang w:eastAsia="ko-KR"/>
        </w:rPr>
        <w:t xml:space="preserve">that the </w:t>
      </w:r>
      <w:r w:rsidRPr="00B65F64">
        <w:rPr>
          <w:lang w:eastAsia="ko-KR"/>
        </w:rPr>
        <w:t xml:space="preserve">transfer </w:t>
      </w:r>
      <w:r w:rsidR="00F960E2">
        <w:rPr>
          <w:rFonts w:hint="eastAsia"/>
          <w:lang w:eastAsia="ko-KR"/>
        </w:rPr>
        <w:t xml:space="preserve">is consistent with </w:t>
      </w:r>
      <w:r w:rsidRPr="00B65F64">
        <w:rPr>
          <w:lang w:eastAsia="ko-KR"/>
        </w:rPr>
        <w:t>applicable national legislation, sectoral regulations, and cultural policy</w:t>
      </w:r>
      <w:r w:rsidR="00F960E2">
        <w:rPr>
          <w:rFonts w:hint="eastAsia"/>
          <w:lang w:eastAsia="ko-KR"/>
        </w:rPr>
        <w:t xml:space="preserve"> frameworks</w:t>
      </w:r>
      <w:r w:rsidRPr="00B65F64">
        <w:rPr>
          <w:lang w:eastAsia="ko-KR"/>
        </w:rPr>
        <w:t>.</w:t>
      </w:r>
    </w:p>
    <w:p w14:paraId="2F202AAC" w14:textId="69E5C038" w:rsidR="00795F04" w:rsidRPr="006C35CC" w:rsidRDefault="00795F04" w:rsidP="0077362E">
      <w:pPr>
        <w:pStyle w:val="Heading2"/>
        <w:rPr>
          <w:lang w:eastAsia="ko-KR"/>
        </w:rPr>
      </w:pPr>
      <w:bookmarkStart w:id="15" w:name="_Toc195121598"/>
      <w:commentRangeStart w:id="16"/>
      <w:r w:rsidRPr="006C35CC">
        <w:rPr>
          <w:lang w:eastAsia="ko-KR"/>
        </w:rPr>
        <w:t>A</w:t>
      </w:r>
      <w:r w:rsidR="00C86736">
        <w:rPr>
          <w:rFonts w:hint="eastAsia"/>
          <w:lang w:eastAsia="ko-KR"/>
        </w:rPr>
        <w:t>ccompanying</w:t>
      </w:r>
      <w:r>
        <w:rPr>
          <w:lang w:eastAsia="ko-KR"/>
        </w:rPr>
        <w:t xml:space="preserve"> A</w:t>
      </w:r>
      <w:r w:rsidR="00C86736">
        <w:rPr>
          <w:rFonts w:hint="eastAsia"/>
          <w:lang w:eastAsia="ko-KR"/>
        </w:rPr>
        <w:t>rtefacts</w:t>
      </w:r>
      <w:r>
        <w:rPr>
          <w:lang w:eastAsia="ko-KR"/>
        </w:rPr>
        <w:t xml:space="preserve"> </w:t>
      </w:r>
      <w:r w:rsidR="00C86736">
        <w:rPr>
          <w:rFonts w:hint="eastAsia"/>
          <w:lang w:eastAsia="ko-KR"/>
        </w:rPr>
        <w:t>and</w:t>
      </w:r>
      <w:r>
        <w:rPr>
          <w:lang w:eastAsia="ko-KR"/>
        </w:rPr>
        <w:t xml:space="preserve"> E</w:t>
      </w:r>
      <w:commentRangeEnd w:id="16"/>
      <w:r w:rsidR="00C86736">
        <w:rPr>
          <w:rFonts w:hint="eastAsia"/>
          <w:lang w:eastAsia="ko-KR"/>
        </w:rPr>
        <w:t>quipment</w:t>
      </w:r>
      <w:r w:rsidR="007C1961">
        <w:rPr>
          <w:rStyle w:val="CommentReference"/>
          <w:color w:val="auto"/>
        </w:rPr>
        <w:commentReference w:id="16"/>
      </w:r>
      <w:bookmarkEnd w:id="15"/>
    </w:p>
    <w:p w14:paraId="03DAE46E" w14:textId="174EBC33" w:rsidR="00795F04" w:rsidRDefault="00795F04" w:rsidP="00795F04">
      <w:pPr>
        <w:pStyle w:val="Bullet1"/>
        <w:numPr>
          <w:ilvl w:val="0"/>
          <w:numId w:val="0"/>
        </w:numPr>
        <w:rPr>
          <w:lang w:eastAsia="ko-KR"/>
        </w:rPr>
      </w:pPr>
      <w:r>
        <w:rPr>
          <w:lang w:eastAsia="ko-KR"/>
        </w:rPr>
        <w:t xml:space="preserve">Artefacts and equipment </w:t>
      </w:r>
      <w:r w:rsidR="00506A15">
        <w:rPr>
          <w:rFonts w:hint="eastAsia"/>
          <w:lang w:eastAsia="ko-KR"/>
        </w:rPr>
        <w:t xml:space="preserve">located </w:t>
      </w:r>
      <w:r>
        <w:rPr>
          <w:lang w:eastAsia="ko-KR"/>
        </w:rPr>
        <w:t xml:space="preserve">within </w:t>
      </w:r>
      <w:proofErr w:type="spellStart"/>
      <w:r>
        <w:rPr>
          <w:lang w:eastAsia="ko-KR"/>
        </w:rPr>
        <w:t>AtoN</w:t>
      </w:r>
      <w:proofErr w:type="spellEnd"/>
      <w:r>
        <w:rPr>
          <w:lang w:eastAsia="ko-KR"/>
        </w:rPr>
        <w:t xml:space="preserve"> sites </w:t>
      </w:r>
      <w:r w:rsidR="00506A15">
        <w:rPr>
          <w:rFonts w:hint="eastAsia"/>
          <w:lang w:eastAsia="ko-KR"/>
        </w:rPr>
        <w:t xml:space="preserve">often contribute to the </w:t>
      </w:r>
      <w:r>
        <w:rPr>
          <w:lang w:eastAsia="ko-KR"/>
        </w:rPr>
        <w:t>histor</w:t>
      </w:r>
      <w:r w:rsidR="00506A15">
        <w:rPr>
          <w:rFonts w:hint="eastAsia"/>
          <w:lang w:eastAsia="ko-KR"/>
        </w:rPr>
        <w:t>ical significance</w:t>
      </w:r>
      <w:r>
        <w:rPr>
          <w:lang w:eastAsia="ko-KR"/>
        </w:rPr>
        <w:t xml:space="preserve"> </w:t>
      </w:r>
      <w:r w:rsidR="00506A15">
        <w:rPr>
          <w:rFonts w:hint="eastAsia"/>
          <w:lang w:eastAsia="ko-KR"/>
        </w:rPr>
        <w:t>and interpretation of the site.</w:t>
      </w:r>
      <w:r>
        <w:rPr>
          <w:lang w:eastAsia="ko-KR"/>
        </w:rPr>
        <w:t xml:space="preserve"> When transferring surplus lighthouse property </w:t>
      </w:r>
      <w:r w:rsidR="0065546E">
        <w:rPr>
          <w:rFonts w:hint="eastAsia"/>
          <w:lang w:eastAsia="ko-KR"/>
        </w:rPr>
        <w:t xml:space="preserve">that includes such items, </w:t>
      </w:r>
      <w:r>
        <w:rPr>
          <w:lang w:eastAsia="ko-KR"/>
        </w:rPr>
        <w:t>the following considerations are recommended:</w:t>
      </w:r>
    </w:p>
    <w:p w14:paraId="11F82A65" w14:textId="31ED2ADF" w:rsidR="00795F04" w:rsidRPr="00685833" w:rsidRDefault="00795F04" w:rsidP="00795F04">
      <w:pPr>
        <w:pStyle w:val="Bullet1"/>
        <w:rPr>
          <w:color w:val="auto"/>
          <w:lang w:eastAsia="ko-KR"/>
        </w:rPr>
      </w:pPr>
      <w:r>
        <w:rPr>
          <w:lang w:eastAsia="ko-KR"/>
        </w:rPr>
        <w:t xml:space="preserve">Favour agreements </w:t>
      </w:r>
      <w:r w:rsidR="00811A72">
        <w:rPr>
          <w:rFonts w:hint="eastAsia"/>
          <w:lang w:eastAsia="ko-KR"/>
        </w:rPr>
        <w:t>in which</w:t>
      </w:r>
      <w:r>
        <w:rPr>
          <w:lang w:eastAsia="ko-KR"/>
        </w:rPr>
        <w:t xml:space="preserve"> artefacts and equipment are retained on </w:t>
      </w:r>
      <w:r w:rsidRPr="00685833">
        <w:rPr>
          <w:color w:val="auto"/>
          <w:lang w:eastAsia="ko-KR"/>
        </w:rPr>
        <w:t xml:space="preserve">site </w:t>
      </w:r>
      <w:r w:rsidR="0062743A" w:rsidRPr="00685833">
        <w:rPr>
          <w:rFonts w:hint="eastAsia"/>
          <w:color w:val="auto"/>
          <w:lang w:eastAsia="ko-KR"/>
        </w:rPr>
        <w:t xml:space="preserve">as interpretive or educational resources </w:t>
      </w:r>
      <w:r w:rsidRPr="00685833">
        <w:rPr>
          <w:color w:val="auto"/>
          <w:lang w:eastAsia="ko-KR"/>
        </w:rPr>
        <w:t>and</w:t>
      </w:r>
      <w:r w:rsidR="00811A72">
        <w:rPr>
          <w:rFonts w:hint="eastAsia"/>
          <w:color w:val="auto"/>
          <w:lang w:eastAsia="ko-KR"/>
        </w:rPr>
        <w:t xml:space="preserve"> are appropriately</w:t>
      </w:r>
      <w:r w:rsidRPr="00685833">
        <w:rPr>
          <w:color w:val="auto"/>
          <w:lang w:eastAsia="ko-KR"/>
        </w:rPr>
        <w:t xml:space="preserve"> maintained</w:t>
      </w:r>
      <w:r w:rsidR="00811A72">
        <w:rPr>
          <w:rFonts w:hint="eastAsia"/>
          <w:color w:val="auto"/>
          <w:lang w:eastAsia="ko-KR"/>
        </w:rPr>
        <w:t>.</w:t>
      </w:r>
      <w:r w:rsidRPr="00685833">
        <w:rPr>
          <w:color w:val="auto"/>
          <w:lang w:eastAsia="ko-KR"/>
        </w:rPr>
        <w:t xml:space="preserve"> </w:t>
      </w:r>
    </w:p>
    <w:p w14:paraId="0110596C" w14:textId="421FFE3B" w:rsidR="007C1961" w:rsidRDefault="00795F04" w:rsidP="00EA03A2">
      <w:pPr>
        <w:pStyle w:val="Bullet1"/>
        <w:rPr>
          <w:lang w:eastAsia="ko-KR"/>
        </w:rPr>
      </w:pPr>
      <w:r>
        <w:rPr>
          <w:lang w:eastAsia="ko-KR"/>
        </w:rPr>
        <w:t xml:space="preserve">Where </w:t>
      </w:r>
      <w:r w:rsidR="00811A72">
        <w:rPr>
          <w:rFonts w:hint="eastAsia"/>
          <w:lang w:eastAsia="ko-KR"/>
        </w:rPr>
        <w:t>on-site retention is not possible, prefer agreements in which items are transferred by the new owner to an appropriate institution (e.g. museum or exhibition venue)</w:t>
      </w:r>
    </w:p>
    <w:p w14:paraId="373BAEB8" w14:textId="5B541AC5" w:rsidR="00795F04" w:rsidRDefault="00EA03A2" w:rsidP="00795F04">
      <w:pPr>
        <w:pStyle w:val="Bullet1"/>
        <w:rPr>
          <w:lang w:eastAsia="ko-KR"/>
        </w:rPr>
      </w:pPr>
      <w:r>
        <w:rPr>
          <w:rFonts w:hint="eastAsia"/>
          <w:lang w:eastAsia="ko-KR"/>
        </w:rPr>
        <w:t>A</w:t>
      </w:r>
      <w:r w:rsidR="007C1961">
        <w:rPr>
          <w:lang w:eastAsia="ko-KR"/>
        </w:rPr>
        <w:t xml:space="preserve">void </w:t>
      </w:r>
      <w:r>
        <w:rPr>
          <w:rFonts w:hint="eastAsia"/>
          <w:lang w:eastAsia="ko-KR"/>
        </w:rPr>
        <w:t xml:space="preserve">agreements that result in the </w:t>
      </w:r>
      <w:r w:rsidR="007C1961">
        <w:rPr>
          <w:lang w:eastAsia="ko-KR"/>
        </w:rPr>
        <w:t>abando</w:t>
      </w:r>
      <w:r>
        <w:rPr>
          <w:rFonts w:hint="eastAsia"/>
          <w:lang w:eastAsia="ko-KR"/>
        </w:rPr>
        <w:t>nment</w:t>
      </w:r>
      <w:r w:rsidR="007C1961">
        <w:rPr>
          <w:lang w:eastAsia="ko-KR"/>
        </w:rPr>
        <w:t>, scrapping</w:t>
      </w:r>
      <w:r>
        <w:rPr>
          <w:rFonts w:hint="eastAsia"/>
          <w:lang w:eastAsia="ko-KR"/>
        </w:rPr>
        <w:t>,</w:t>
      </w:r>
      <w:r w:rsidR="007C1961">
        <w:rPr>
          <w:lang w:eastAsia="ko-KR"/>
        </w:rPr>
        <w:t xml:space="preserve"> or dispos</w:t>
      </w:r>
      <w:r>
        <w:rPr>
          <w:rFonts w:hint="eastAsia"/>
          <w:lang w:eastAsia="ko-KR"/>
        </w:rPr>
        <w:t>al</w:t>
      </w:r>
      <w:r w:rsidR="007C1961">
        <w:rPr>
          <w:lang w:eastAsia="ko-KR"/>
        </w:rPr>
        <w:t xml:space="preserve"> of </w:t>
      </w:r>
      <w:r>
        <w:rPr>
          <w:rFonts w:hint="eastAsia"/>
          <w:lang w:eastAsia="ko-KR"/>
        </w:rPr>
        <w:t xml:space="preserve">historically significant </w:t>
      </w:r>
      <w:r w:rsidR="007C1961">
        <w:rPr>
          <w:lang w:eastAsia="ko-KR"/>
        </w:rPr>
        <w:t>artefacts.</w:t>
      </w:r>
      <w:r w:rsidR="00795F04">
        <w:rPr>
          <w:lang w:eastAsia="ko-KR"/>
        </w:rPr>
        <w:t xml:space="preserve"> </w:t>
      </w:r>
    </w:p>
    <w:p w14:paraId="4201FE40" w14:textId="054E31B9" w:rsidR="007C1961" w:rsidRDefault="007C1961" w:rsidP="007C1961">
      <w:pPr>
        <w:pStyle w:val="Heading1"/>
        <w:rPr>
          <w:lang w:eastAsia="ko-KR"/>
        </w:rPr>
      </w:pPr>
      <w:bookmarkStart w:id="17" w:name="_Toc195121599"/>
      <w:r>
        <w:rPr>
          <w:lang w:eastAsia="ko-KR"/>
        </w:rPr>
        <w:t>Conclusion</w:t>
      </w:r>
      <w:bookmarkEnd w:id="17"/>
    </w:p>
    <w:p w14:paraId="46AEBAE0" w14:textId="77777777" w:rsidR="007C1961" w:rsidRDefault="007C1961" w:rsidP="007C1961">
      <w:pPr>
        <w:pStyle w:val="Heading1separationline"/>
        <w:rPr>
          <w:lang w:eastAsia="ko-KR"/>
        </w:rPr>
      </w:pPr>
    </w:p>
    <w:p w14:paraId="18A6ED6A" w14:textId="04A547F4" w:rsidR="007C1961" w:rsidRDefault="007C1961">
      <w:pPr>
        <w:pStyle w:val="BodyText"/>
        <w:rPr>
          <w:lang w:eastAsia="ko-KR"/>
        </w:rPr>
      </w:pPr>
      <w:r>
        <w:rPr>
          <w:lang w:eastAsia="ko-KR"/>
        </w:rPr>
        <w:t xml:space="preserve">Where </w:t>
      </w:r>
      <w:proofErr w:type="spellStart"/>
      <w:r>
        <w:rPr>
          <w:lang w:eastAsia="ko-KR"/>
        </w:rPr>
        <w:t>AtoN</w:t>
      </w:r>
      <w:proofErr w:type="spellEnd"/>
      <w:r>
        <w:rPr>
          <w:lang w:eastAsia="ko-KR"/>
        </w:rPr>
        <w:t xml:space="preserve"> authorities</w:t>
      </w:r>
      <w:r w:rsidR="007301F9">
        <w:rPr>
          <w:rFonts w:hint="eastAsia"/>
          <w:lang w:eastAsia="ko-KR"/>
        </w:rPr>
        <w:t xml:space="preserve"> are required to</w:t>
      </w:r>
      <w:r>
        <w:rPr>
          <w:lang w:eastAsia="ko-KR"/>
        </w:rPr>
        <w:t xml:space="preserve"> transfer ownership of </w:t>
      </w:r>
      <w:r w:rsidR="007301F9">
        <w:rPr>
          <w:rFonts w:hint="eastAsia"/>
          <w:lang w:eastAsia="ko-KR"/>
        </w:rPr>
        <w:t>all</w:t>
      </w:r>
      <w:r>
        <w:rPr>
          <w:lang w:eastAsia="ko-KR"/>
        </w:rPr>
        <w:t xml:space="preserve"> or part of an </w:t>
      </w:r>
      <w:proofErr w:type="spellStart"/>
      <w:r>
        <w:rPr>
          <w:lang w:eastAsia="ko-KR"/>
        </w:rPr>
        <w:t>AtoN</w:t>
      </w:r>
      <w:proofErr w:type="spellEnd"/>
      <w:r>
        <w:rPr>
          <w:lang w:eastAsia="ko-KR"/>
        </w:rPr>
        <w:t xml:space="preserve"> site, this</w:t>
      </w:r>
      <w:r w:rsidRPr="007C1961">
        <w:rPr>
          <w:lang w:eastAsia="ko-KR"/>
        </w:rPr>
        <w:t xml:space="preserve"> Guideline </w:t>
      </w:r>
      <w:r>
        <w:rPr>
          <w:lang w:eastAsia="ko-KR"/>
        </w:rPr>
        <w:t>provides</w:t>
      </w:r>
      <w:r w:rsidRPr="007C1961">
        <w:rPr>
          <w:lang w:eastAsia="ko-KR"/>
        </w:rPr>
        <w:t xml:space="preserve"> </w:t>
      </w:r>
      <w:r w:rsidR="00855122">
        <w:rPr>
          <w:rFonts w:hint="eastAsia"/>
          <w:lang w:eastAsia="ko-KR"/>
        </w:rPr>
        <w:t xml:space="preserve">a set of </w:t>
      </w:r>
      <w:r>
        <w:rPr>
          <w:lang w:eastAsia="ko-KR"/>
        </w:rPr>
        <w:t xml:space="preserve">recommendations </w:t>
      </w:r>
      <w:r w:rsidR="00855122">
        <w:rPr>
          <w:rFonts w:hint="eastAsia"/>
          <w:lang w:eastAsia="ko-KR"/>
        </w:rPr>
        <w:t>to support the p</w:t>
      </w:r>
      <w:r>
        <w:rPr>
          <w:lang w:eastAsia="ko-KR"/>
        </w:rPr>
        <w:t xml:space="preserve">lanning and execution of transfer agreements. It is important </w:t>
      </w:r>
      <w:r w:rsidR="00855122">
        <w:rPr>
          <w:rFonts w:hint="eastAsia"/>
          <w:lang w:eastAsia="ko-KR"/>
        </w:rPr>
        <w:t>that</w:t>
      </w:r>
      <w:r>
        <w:rPr>
          <w:lang w:eastAsia="ko-KR"/>
        </w:rPr>
        <w:t xml:space="preserve"> </w:t>
      </w:r>
      <w:proofErr w:type="spellStart"/>
      <w:r>
        <w:rPr>
          <w:lang w:eastAsia="ko-KR"/>
        </w:rPr>
        <w:t>AtoN</w:t>
      </w:r>
      <w:proofErr w:type="spellEnd"/>
      <w:r>
        <w:rPr>
          <w:lang w:eastAsia="ko-KR"/>
        </w:rPr>
        <w:t xml:space="preserve"> authorities recognise the</w:t>
      </w:r>
      <w:r w:rsidRPr="007C1961">
        <w:rPr>
          <w:lang w:eastAsia="ko-KR"/>
        </w:rPr>
        <w:t xml:space="preserve"> </w:t>
      </w:r>
      <w:r w:rsidR="00855122">
        <w:rPr>
          <w:rFonts w:hint="eastAsia"/>
          <w:lang w:eastAsia="ko-KR"/>
        </w:rPr>
        <w:t xml:space="preserve">potential </w:t>
      </w:r>
      <w:r w:rsidRPr="007C1961">
        <w:rPr>
          <w:lang w:eastAsia="ko-KR"/>
        </w:rPr>
        <w:t xml:space="preserve">implications of their decisions on the heritage value of lighthouse buildings and </w:t>
      </w:r>
      <w:r w:rsidR="00855122">
        <w:rPr>
          <w:rFonts w:hint="eastAsia"/>
          <w:lang w:eastAsia="ko-KR"/>
        </w:rPr>
        <w:t xml:space="preserve">any </w:t>
      </w:r>
      <w:r w:rsidRPr="007C1961">
        <w:rPr>
          <w:lang w:eastAsia="ko-KR"/>
        </w:rPr>
        <w:t>associated equipment.</w:t>
      </w:r>
    </w:p>
    <w:p w14:paraId="1D9269D6" w14:textId="1C56C46D" w:rsidR="00160B67" w:rsidRPr="00160B67" w:rsidRDefault="006A57C4" w:rsidP="0077362E">
      <w:pPr>
        <w:pStyle w:val="BodyText"/>
        <w:rPr>
          <w:lang w:eastAsia="ko-KR"/>
        </w:rPr>
      </w:pPr>
      <w:r>
        <w:rPr>
          <w:rFonts w:hint="eastAsia"/>
          <w:lang w:eastAsia="ko-KR"/>
        </w:rPr>
        <w:t>If</w:t>
      </w:r>
      <w:r w:rsidR="00511FCE">
        <w:rPr>
          <w:rFonts w:hint="eastAsia"/>
          <w:lang w:eastAsia="ko-KR"/>
        </w:rPr>
        <w:t xml:space="preserve"> </w:t>
      </w:r>
      <w:r w:rsidR="00855122">
        <w:rPr>
          <w:rFonts w:hint="eastAsia"/>
          <w:lang w:eastAsia="ko-KR"/>
        </w:rPr>
        <w:t xml:space="preserve">a </w:t>
      </w:r>
      <w:r w:rsidR="00DA4CE3">
        <w:rPr>
          <w:rFonts w:hint="eastAsia"/>
          <w:lang w:eastAsia="ko-KR"/>
        </w:rPr>
        <w:t xml:space="preserve">Competent Authority </w:t>
      </w:r>
      <w:r w:rsidR="00855122">
        <w:rPr>
          <w:rFonts w:hint="eastAsia"/>
          <w:lang w:eastAsia="ko-KR"/>
        </w:rPr>
        <w:t xml:space="preserve">is </w:t>
      </w:r>
      <w:r w:rsidR="00DA4CE3">
        <w:rPr>
          <w:lang w:eastAsia="ko-KR"/>
        </w:rPr>
        <w:t>conside</w:t>
      </w:r>
      <w:r w:rsidR="00DA4CE3">
        <w:rPr>
          <w:rFonts w:hint="eastAsia"/>
          <w:lang w:eastAsia="ko-KR"/>
        </w:rPr>
        <w:t>r</w:t>
      </w:r>
      <w:r w:rsidR="00855122">
        <w:rPr>
          <w:rFonts w:hint="eastAsia"/>
          <w:lang w:eastAsia="ko-KR"/>
        </w:rPr>
        <w:t>ing the</w:t>
      </w:r>
      <w:r w:rsidR="00DA4CE3">
        <w:rPr>
          <w:rFonts w:hint="eastAsia"/>
          <w:lang w:eastAsia="ko-KR"/>
        </w:rPr>
        <w:t xml:space="preserve"> complementary use of surplus lighthouse propert</w:t>
      </w:r>
      <w:r w:rsidR="00855122">
        <w:rPr>
          <w:rFonts w:hint="eastAsia"/>
          <w:lang w:eastAsia="ko-KR"/>
        </w:rPr>
        <w:t>y,</w:t>
      </w:r>
      <w:r w:rsidR="00DA4CE3">
        <w:rPr>
          <w:rFonts w:hint="eastAsia"/>
          <w:lang w:eastAsia="ko-KR"/>
        </w:rPr>
        <w:t xml:space="preserve"> including leas</w:t>
      </w:r>
      <w:r w:rsidR="00C249D4">
        <w:rPr>
          <w:rFonts w:hint="eastAsia"/>
          <w:lang w:eastAsia="ko-KR"/>
        </w:rPr>
        <w:t>e</w:t>
      </w:r>
      <w:r w:rsidR="00CB5208">
        <w:rPr>
          <w:rFonts w:hint="eastAsia"/>
          <w:lang w:eastAsia="ko-KR"/>
        </w:rPr>
        <w:t xml:space="preserve"> or </w:t>
      </w:r>
      <w:r w:rsidR="00C249D4">
        <w:rPr>
          <w:rFonts w:hint="eastAsia"/>
          <w:lang w:eastAsia="ko-KR"/>
        </w:rPr>
        <w:t>leaseback</w:t>
      </w:r>
      <w:r w:rsidR="00CA75D0">
        <w:rPr>
          <w:rFonts w:hint="eastAsia"/>
          <w:lang w:eastAsia="ko-KR"/>
        </w:rPr>
        <w:t xml:space="preserve"> arrangements</w:t>
      </w:r>
      <w:r w:rsidR="00C249D4">
        <w:rPr>
          <w:rFonts w:hint="eastAsia"/>
          <w:lang w:eastAsia="ko-KR"/>
        </w:rPr>
        <w:t xml:space="preserve">, </w:t>
      </w:r>
      <w:r w:rsidR="002F6B3D">
        <w:rPr>
          <w:rFonts w:hint="eastAsia"/>
          <w:lang w:eastAsia="ko-KR"/>
        </w:rPr>
        <w:t>refer</w:t>
      </w:r>
      <w:r w:rsidR="00CA75D0">
        <w:rPr>
          <w:rFonts w:hint="eastAsia"/>
          <w:lang w:eastAsia="ko-KR"/>
        </w:rPr>
        <w:t xml:space="preserve">ence should be made to </w:t>
      </w:r>
      <w:r w:rsidR="002F6B3D">
        <w:rPr>
          <w:rFonts w:hint="eastAsia"/>
          <w:lang w:eastAsia="ko-KR"/>
        </w:rPr>
        <w:t xml:space="preserve">IALA </w:t>
      </w:r>
      <w:r w:rsidR="00CA75D0">
        <w:rPr>
          <w:rFonts w:hint="eastAsia"/>
          <w:lang w:eastAsia="ko-KR"/>
        </w:rPr>
        <w:t>G</w:t>
      </w:r>
      <w:r w:rsidR="002F6B3D">
        <w:rPr>
          <w:rFonts w:hint="eastAsia"/>
          <w:lang w:eastAsia="ko-KR"/>
        </w:rPr>
        <w:t xml:space="preserve">uideline G1075 and </w:t>
      </w:r>
      <w:r w:rsidR="00CA75D0">
        <w:rPr>
          <w:rFonts w:hint="eastAsia"/>
          <w:lang w:eastAsia="ko-KR"/>
        </w:rPr>
        <w:t xml:space="preserve">the </w:t>
      </w:r>
      <w:hyperlink r:id="rId29" w:history="1">
        <w:r w:rsidR="002F6B3D" w:rsidRPr="001E37D0">
          <w:rPr>
            <w:rStyle w:val="Hyperlink"/>
            <w:color w:val="auto"/>
            <w:u w:val="none"/>
            <w:lang w:eastAsia="ko-KR"/>
          </w:rPr>
          <w:t>IALA Complementary Lighthouse Use Manual</w:t>
        </w:r>
      </w:hyperlink>
      <w:r w:rsidR="002F6B3D">
        <w:rPr>
          <w:rFonts w:hint="eastAsia"/>
          <w:lang w:eastAsia="ko-KR"/>
        </w:rPr>
        <w:t>.</w:t>
      </w:r>
    </w:p>
    <w:p w14:paraId="169D1E03" w14:textId="77777777" w:rsidR="00AD12E6" w:rsidRDefault="00AD12E6" w:rsidP="00CB1D11">
      <w:pPr>
        <w:pStyle w:val="Heading1"/>
        <w:keepLines w:val="0"/>
        <w:suppressAutoHyphens/>
      </w:pPr>
      <w:bookmarkStart w:id="18" w:name="_Toc195121600"/>
      <w:bookmarkStart w:id="19" w:name="_Hlk59202516"/>
      <w:bookmarkEnd w:id="8"/>
      <w:r>
        <w:t>abbreviations</w:t>
      </w:r>
      <w:bookmarkEnd w:id="18"/>
    </w:p>
    <w:p w14:paraId="24950812" w14:textId="77777777" w:rsidR="00AD12E6" w:rsidRDefault="00AD12E6" w:rsidP="00CB1D11">
      <w:pPr>
        <w:pStyle w:val="Heading1separationline"/>
        <w:keepNext/>
        <w:suppressAutoHyphens/>
      </w:pPr>
    </w:p>
    <w:p w14:paraId="75D0A647" w14:textId="77777777" w:rsidR="001D11AC" w:rsidRPr="005F1314" w:rsidRDefault="001D11AC" w:rsidP="00CB1D11">
      <w:pPr>
        <w:pStyle w:val="Abbreviations"/>
        <w:keepNext/>
        <w:suppressAutoHyphens/>
      </w:pPr>
      <w:r w:rsidRPr="005F1314">
        <w:t>NGO</w:t>
      </w:r>
      <w:r w:rsidRPr="005F1314">
        <w:tab/>
        <w:t>Non-governmental organi</w:t>
      </w:r>
      <w:r w:rsidR="002C605E">
        <w:t>z</w:t>
      </w:r>
      <w:r w:rsidRPr="005F1314">
        <w:t>ation</w:t>
      </w:r>
    </w:p>
    <w:p w14:paraId="6087F644" w14:textId="7B709BC9" w:rsidR="001D11AC" w:rsidRDefault="00844EA0" w:rsidP="00CB1D11">
      <w:pPr>
        <w:pStyle w:val="Abbreviations"/>
        <w:keepNext/>
        <w:suppressAutoHyphens/>
      </w:pPr>
      <w:r>
        <w:rPr>
          <w:rFonts w:hint="eastAsia"/>
          <w:lang w:eastAsia="ko-KR"/>
        </w:rPr>
        <w:t>UNESCO</w:t>
      </w:r>
      <w:r w:rsidR="001D11AC" w:rsidRPr="005F1314">
        <w:tab/>
      </w:r>
      <w:r w:rsidR="00094FC9" w:rsidRPr="00094FC9">
        <w:t>The United Nations Educational, Scientific and Cultural Organization</w:t>
      </w:r>
    </w:p>
    <w:p w14:paraId="532BE46F" w14:textId="278A1B91" w:rsidR="00844EA0" w:rsidRPr="005F1314" w:rsidRDefault="00844EA0" w:rsidP="00CB1D11">
      <w:pPr>
        <w:pStyle w:val="Abbreviations"/>
        <w:keepNext/>
        <w:suppressAutoHyphens/>
        <w:rPr>
          <w:lang w:eastAsia="ko-KR"/>
        </w:rPr>
      </w:pPr>
      <w:r>
        <w:rPr>
          <w:rFonts w:hint="eastAsia"/>
          <w:lang w:eastAsia="ko-KR"/>
        </w:rPr>
        <w:t>ICOMOS</w:t>
      </w:r>
      <w:r>
        <w:rPr>
          <w:lang w:eastAsia="ko-KR"/>
        </w:rPr>
        <w:tab/>
      </w:r>
      <w:r w:rsidR="00667217" w:rsidRPr="00667217">
        <w:rPr>
          <w:lang w:eastAsia="ko-KR"/>
        </w:rPr>
        <w:t>International Council on Monuments and Sites</w:t>
      </w:r>
    </w:p>
    <w:p w14:paraId="142964DC" w14:textId="77777777" w:rsidR="00224DAB" w:rsidRPr="00224DAB" w:rsidRDefault="00200579" w:rsidP="00CB1D11">
      <w:pPr>
        <w:pStyle w:val="Heading1"/>
        <w:suppressAutoHyphens/>
      </w:pPr>
      <w:bookmarkStart w:id="20" w:name="_Toc195121601"/>
      <w:bookmarkEnd w:id="19"/>
      <w:r>
        <w:t>references</w:t>
      </w:r>
      <w:bookmarkEnd w:id="20"/>
    </w:p>
    <w:p w14:paraId="130F0924" w14:textId="77777777" w:rsidR="00200579" w:rsidRDefault="00200579" w:rsidP="00CB1D11">
      <w:pPr>
        <w:pStyle w:val="Heading1separationline"/>
        <w:suppressAutoHyphens/>
      </w:pPr>
    </w:p>
    <w:p w14:paraId="31F16AC7" w14:textId="063AA1E5" w:rsidR="00CF10E3" w:rsidRPr="00492B6D" w:rsidRDefault="00E2653D" w:rsidP="00CB1D11">
      <w:pPr>
        <w:pStyle w:val="Reference"/>
        <w:suppressAutoHyphens/>
      </w:pPr>
      <w:bookmarkStart w:id="21" w:name="_Hlk58941431"/>
      <w:bookmarkStart w:id="22" w:name="_Hlk59209161"/>
      <w:bookmarkStart w:id="23" w:name="_Hlk58941398"/>
      <w:r w:rsidRPr="00492B6D">
        <w:rPr>
          <w:rFonts w:eastAsiaTheme="minorEastAsia" w:hint="eastAsia"/>
          <w:lang w:eastAsia="ko-KR"/>
        </w:rPr>
        <w:t>United Nations</w:t>
      </w:r>
      <w:r w:rsidR="00CE538B" w:rsidRPr="00492B6D">
        <w:rPr>
          <w:rFonts w:eastAsiaTheme="minorEastAsia" w:hint="eastAsia"/>
          <w:lang w:eastAsia="ko-KR"/>
        </w:rPr>
        <w:t>. (2015) Sustainable Development Goal 11.4: Strengthen efforts to protect and safeguard the world</w:t>
      </w:r>
      <w:r w:rsidR="00CE538B" w:rsidRPr="00492B6D">
        <w:rPr>
          <w:rFonts w:eastAsiaTheme="minorEastAsia"/>
          <w:lang w:eastAsia="ko-KR"/>
        </w:rPr>
        <w:t>’</w:t>
      </w:r>
      <w:r w:rsidR="00CE538B" w:rsidRPr="00492B6D">
        <w:rPr>
          <w:rFonts w:eastAsiaTheme="minorEastAsia" w:hint="eastAsia"/>
          <w:lang w:eastAsia="ko-KR"/>
        </w:rPr>
        <w:t xml:space="preserve">s cultural and natural heritage. </w:t>
      </w:r>
      <w:r w:rsidR="0012387B" w:rsidRPr="00492B6D">
        <w:rPr>
          <w:rFonts w:eastAsiaTheme="minorEastAsia" w:hint="eastAsia"/>
          <w:lang w:eastAsia="ko-KR"/>
        </w:rPr>
        <w:t>In: 2030 Agenda for Sustainable Development</w:t>
      </w:r>
    </w:p>
    <w:p w14:paraId="159A254B" w14:textId="70C5A36A" w:rsidR="00CF10E3" w:rsidRPr="00492B6D" w:rsidRDefault="0012387B" w:rsidP="00CB1D11">
      <w:pPr>
        <w:pStyle w:val="Reference"/>
        <w:suppressAutoHyphens/>
      </w:pPr>
      <w:bookmarkStart w:id="24" w:name="_Hlk58941458"/>
      <w:bookmarkEnd w:id="21"/>
      <w:r w:rsidRPr="00492B6D">
        <w:rPr>
          <w:rFonts w:eastAsiaTheme="minorEastAsia" w:hint="eastAsia"/>
          <w:lang w:eastAsia="ko-KR"/>
        </w:rPr>
        <w:t>UNESCO</w:t>
      </w:r>
      <w:r w:rsidR="00CF10E3" w:rsidRPr="00492B6D">
        <w:t>. (</w:t>
      </w:r>
      <w:r w:rsidRPr="00492B6D">
        <w:rPr>
          <w:rFonts w:eastAsiaTheme="minorEastAsia" w:hint="eastAsia"/>
          <w:lang w:eastAsia="ko-KR"/>
        </w:rPr>
        <w:t>2021</w:t>
      </w:r>
      <w:r w:rsidR="00CF10E3" w:rsidRPr="00492B6D">
        <w:t xml:space="preserve">) </w:t>
      </w:r>
      <w:r w:rsidRPr="00492B6D">
        <w:rPr>
          <w:rFonts w:eastAsiaTheme="minorEastAsia" w:hint="eastAsia"/>
          <w:lang w:eastAsia="ko-KR"/>
        </w:rPr>
        <w:t xml:space="preserve">Operational Guidelines for the </w:t>
      </w:r>
      <w:r w:rsidR="003A6102" w:rsidRPr="00492B6D">
        <w:rPr>
          <w:rFonts w:eastAsiaTheme="minorEastAsia" w:hint="eastAsia"/>
          <w:lang w:eastAsia="ko-KR"/>
        </w:rPr>
        <w:t>Implementation of the World Heritage Convention.</w:t>
      </w:r>
    </w:p>
    <w:p w14:paraId="16AEFBDB" w14:textId="393646DF" w:rsidR="007366FB" w:rsidRPr="00492B6D" w:rsidRDefault="00080D09" w:rsidP="00CB1D11">
      <w:pPr>
        <w:pStyle w:val="Reference"/>
        <w:suppressAutoHyphens/>
      </w:pPr>
      <w:r w:rsidRPr="00492B6D">
        <w:rPr>
          <w:rFonts w:eastAsiaTheme="minorEastAsia" w:hint="eastAsia"/>
          <w:lang w:eastAsia="ko-KR"/>
        </w:rPr>
        <w:t>UNESCO. (2011</w:t>
      </w:r>
      <w:r w:rsidR="004C26E0" w:rsidRPr="00492B6D">
        <w:rPr>
          <w:rFonts w:eastAsiaTheme="minorEastAsia" w:hint="eastAsia"/>
          <w:lang w:eastAsia="ko-KR"/>
        </w:rPr>
        <w:t>)</w:t>
      </w:r>
      <w:r w:rsidRPr="00492B6D">
        <w:rPr>
          <w:rFonts w:eastAsiaTheme="minorEastAsia" w:hint="eastAsia"/>
          <w:lang w:eastAsia="ko-KR"/>
        </w:rPr>
        <w:t xml:space="preserve"> Recommendation on the Historic Urban Landscape.</w:t>
      </w:r>
    </w:p>
    <w:p w14:paraId="7B99D3D4" w14:textId="4FE7B5F5" w:rsidR="00080D09" w:rsidRPr="00492B6D" w:rsidRDefault="00080D09" w:rsidP="00CB1D11">
      <w:pPr>
        <w:pStyle w:val="Reference"/>
        <w:suppressAutoHyphens/>
      </w:pPr>
      <w:r w:rsidRPr="00492B6D">
        <w:rPr>
          <w:rFonts w:eastAsiaTheme="minorEastAsia" w:hint="eastAsia"/>
          <w:lang w:eastAsia="ko-KR"/>
        </w:rPr>
        <w:t>ICOMOS. (</w:t>
      </w:r>
      <w:r w:rsidR="004C26E0" w:rsidRPr="00492B6D">
        <w:rPr>
          <w:rFonts w:eastAsiaTheme="minorEastAsia" w:hint="eastAsia"/>
          <w:lang w:eastAsia="ko-KR"/>
        </w:rPr>
        <w:t>2019) Guidance on Heritage at Risk and Coastal Heritage Adaption.</w:t>
      </w:r>
    </w:p>
    <w:p w14:paraId="27338B4C" w14:textId="4A82A392" w:rsidR="00FF4DAF" w:rsidRPr="001E37D0" w:rsidRDefault="00FF4DAF" w:rsidP="00CB1D11">
      <w:pPr>
        <w:pStyle w:val="Reference"/>
        <w:suppressAutoHyphens/>
      </w:pPr>
      <w:r w:rsidRPr="00492B6D">
        <w:rPr>
          <w:rFonts w:eastAsiaTheme="minorEastAsia" w:hint="eastAsia"/>
          <w:lang w:eastAsia="ko-KR"/>
        </w:rPr>
        <w:t>IALA. (</w:t>
      </w:r>
      <w:r w:rsidRPr="001E37D0">
        <w:rPr>
          <w:rFonts w:eastAsiaTheme="minorEastAsia" w:hint="eastAsia"/>
          <w:lang w:eastAsia="ko-KR"/>
        </w:rPr>
        <w:t>201</w:t>
      </w:r>
      <w:r w:rsidR="00CB22B8">
        <w:rPr>
          <w:rFonts w:eastAsiaTheme="minorEastAsia"/>
          <w:lang w:eastAsia="ko-KR"/>
        </w:rPr>
        <w:t xml:space="preserve">7) </w:t>
      </w:r>
      <w:hyperlink r:id="rId30" w:history="1">
        <w:r w:rsidRPr="001E37D0">
          <w:rPr>
            <w:rStyle w:val="Hyperlink"/>
            <w:color w:val="auto"/>
            <w:u w:val="none"/>
          </w:rPr>
          <w:t>R1005 Conserving the Built Heritage of Lighthouses and Other Aids to Navigation</w:t>
        </w:r>
      </w:hyperlink>
    </w:p>
    <w:p w14:paraId="3843A1E1" w14:textId="4AE411E5" w:rsidR="001E37D0" w:rsidRPr="001E37D0" w:rsidRDefault="001E37D0" w:rsidP="001E37D0">
      <w:pPr>
        <w:pStyle w:val="Reference"/>
        <w:suppressAutoHyphens/>
        <w:rPr>
          <w:rFonts w:eastAsiaTheme="minorEastAsia"/>
          <w:lang w:val="en-US" w:eastAsia="ko-KR"/>
        </w:rPr>
      </w:pPr>
      <w:r w:rsidRPr="001E37D0">
        <w:rPr>
          <w:rFonts w:eastAsiaTheme="minorEastAsia" w:hint="eastAsia"/>
          <w:lang w:eastAsia="ko-KR"/>
        </w:rPr>
        <w:lastRenderedPageBreak/>
        <w:t xml:space="preserve">IALA. (2008) </w:t>
      </w:r>
      <w:r w:rsidRPr="001E37D0">
        <w:rPr>
          <w:rFonts w:eastAsiaTheme="minorEastAsia"/>
          <w:lang w:val="en-US" w:eastAsia="ko-KR"/>
        </w:rPr>
        <w:t>G1063 Agreements for Complementary use of Lighthouses</w:t>
      </w:r>
    </w:p>
    <w:p w14:paraId="51EDF717" w14:textId="6E9DA91E" w:rsidR="009E6C74" w:rsidRPr="001E37D0" w:rsidRDefault="009E6C74" w:rsidP="009E6C74">
      <w:pPr>
        <w:pStyle w:val="Reference"/>
        <w:suppressAutoHyphens/>
        <w:rPr>
          <w:rFonts w:eastAsiaTheme="minorEastAsia"/>
          <w:lang w:val="en-US" w:eastAsia="ko-KR"/>
        </w:rPr>
      </w:pPr>
      <w:r w:rsidRPr="001E37D0">
        <w:rPr>
          <w:rFonts w:eastAsiaTheme="minorEastAsia" w:hint="eastAsia"/>
          <w:lang w:eastAsia="ko-KR"/>
        </w:rPr>
        <w:t xml:space="preserve">IALA. (2009) </w:t>
      </w:r>
      <w:r w:rsidRPr="001E37D0">
        <w:rPr>
          <w:rFonts w:eastAsiaTheme="minorEastAsia"/>
          <w:lang w:val="en-US" w:eastAsia="ko-KR"/>
        </w:rPr>
        <w:t>G1075 Business Plan for the complementary use of a Historic Lighthouse</w:t>
      </w:r>
    </w:p>
    <w:p w14:paraId="6B1F66B6" w14:textId="1469864F" w:rsidR="00DF47E2" w:rsidRPr="000A050D" w:rsidRDefault="00492B6D" w:rsidP="000A050D">
      <w:pPr>
        <w:pStyle w:val="Reference"/>
        <w:suppressAutoHyphens/>
      </w:pPr>
      <w:r w:rsidRPr="001E37D0">
        <w:rPr>
          <w:rFonts w:eastAsiaTheme="minorEastAsia" w:hint="eastAsia"/>
          <w:lang w:eastAsia="ko-KR"/>
        </w:rPr>
        <w:t xml:space="preserve">IALA. (2017) </w:t>
      </w:r>
      <w:hyperlink r:id="rId31" w:history="1">
        <w:r w:rsidRPr="001E37D0">
          <w:rPr>
            <w:rStyle w:val="Hyperlink"/>
            <w:rFonts w:eastAsiaTheme="minorEastAsia"/>
            <w:color w:val="auto"/>
            <w:u w:val="none"/>
            <w:lang w:eastAsia="ko-KR"/>
          </w:rPr>
          <w:t>IALA Complementary Lighthouse Use Manual</w:t>
        </w:r>
      </w:hyperlink>
      <w:bookmarkEnd w:id="22"/>
      <w:bookmarkEnd w:id="23"/>
      <w:bookmarkEnd w:id="24"/>
    </w:p>
    <w:sectPr w:rsidR="00DF47E2" w:rsidRPr="000A050D" w:rsidSect="00CB1D11">
      <w:headerReference w:type="even" r:id="rId32"/>
      <w:headerReference w:type="default" r:id="rId33"/>
      <w:footerReference w:type="even" r:id="rId34"/>
      <w:headerReference w:type="first" r:id="rId35"/>
      <w:footerReference w:type="first" r:id="rId36"/>
      <w:pgSz w:w="11906" w:h="16838" w:code="9"/>
      <w:pgMar w:top="567" w:right="794" w:bottom="567" w:left="907" w:header="567"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4" w:author="Sarah-Jane Lakshman" w:date="2025-04-08T14:03:00Z" w:initials="SL">
    <w:p w14:paraId="27F9069F" w14:textId="534E2281" w:rsidR="00705DEB" w:rsidRDefault="00705DEB" w:rsidP="00705DEB">
      <w:pPr>
        <w:pStyle w:val="CommentText"/>
      </w:pPr>
      <w:r>
        <w:rPr>
          <w:rStyle w:val="CommentReference"/>
        </w:rPr>
        <w:annotationRef/>
      </w:r>
      <w:r>
        <w:t xml:space="preserve">For further discussion: This guideline should perhaps be focused solely on responsible disposal. It is to be used by AtoN Managers who have considered G1063 (Complementary Use) and have decided to sell. </w:t>
      </w:r>
    </w:p>
  </w:comment>
  <w:comment w:id="7" w:author="Sarah-Jane Lakshman" w:date="2025-04-08T14:07:00Z" w:initials="SL">
    <w:p w14:paraId="610C634A" w14:textId="77777777" w:rsidR="00B44C24" w:rsidRDefault="00B44C24" w:rsidP="00B44C24">
      <w:pPr>
        <w:pStyle w:val="CommentText"/>
      </w:pPr>
      <w:r>
        <w:rPr>
          <w:rStyle w:val="CommentReference"/>
        </w:rPr>
        <w:annotationRef/>
      </w:r>
      <w:r>
        <w:t>This is the heart of the guideline, and some things addressed in Chapters 3&amp;4 could be addressed here.</w:t>
      </w:r>
    </w:p>
  </w:comment>
  <w:comment w:id="16" w:author="Sarah-Jane Lakshman" w:date="2025-04-08T15:49:00Z" w:initials="SL">
    <w:p w14:paraId="2DCEEDDA" w14:textId="5A6E43C4" w:rsidR="007C1961" w:rsidRDefault="007C1961" w:rsidP="007C1961">
      <w:pPr>
        <w:pStyle w:val="CommentText"/>
      </w:pPr>
      <w:r>
        <w:rPr>
          <w:rStyle w:val="CommentReference"/>
        </w:rPr>
        <w:annotationRef/>
      </w:r>
      <w:r>
        <w:t>New section added for your consideration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7F9069F" w15:done="0"/>
  <w15:commentEx w15:paraId="610C634A" w15:done="0"/>
  <w15:commentEx w15:paraId="2DCEEDD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9C4EDCE" w16cex:dateUtc="2025-04-08T13:03:00Z"/>
  <w16cex:commentExtensible w16cex:durableId="488BDF7C" w16cex:dateUtc="2025-04-08T13:07:00Z"/>
  <w16cex:commentExtensible w16cex:durableId="1DB098E4" w16cex:dateUtc="2025-04-08T14: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7F9069F" w16cid:durableId="29C4EDCE"/>
  <w16cid:commentId w16cid:paraId="610C634A" w16cid:durableId="488BDF7C"/>
  <w16cid:commentId w16cid:paraId="2DCEEDDA" w16cid:durableId="1DB098E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EB795E" w14:textId="77777777" w:rsidR="00DB3033" w:rsidRDefault="00DB3033" w:rsidP="003274DB">
      <w:r>
        <w:separator/>
      </w:r>
    </w:p>
    <w:p w14:paraId="519BDFE4" w14:textId="77777777" w:rsidR="00DB3033" w:rsidRDefault="00DB3033"/>
  </w:endnote>
  <w:endnote w:type="continuationSeparator" w:id="0">
    <w:p w14:paraId="0058FFF5" w14:textId="77777777" w:rsidR="00DB3033" w:rsidRDefault="00DB3033" w:rsidP="003274DB">
      <w:r>
        <w:continuationSeparator/>
      </w:r>
    </w:p>
    <w:p w14:paraId="71600EC0" w14:textId="77777777" w:rsidR="00DB3033" w:rsidRDefault="00DB30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Body)">
    <w:altName w:val="Calibri"/>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함초롬바탕">
    <w:charset w:val="81"/>
    <w:family w:val="roman"/>
    <w:pitch w:val="variable"/>
    <w:sig w:usb0="F7002EFF" w:usb1="19DFFFFF" w:usb2="001BFDD7" w:usb3="00000000" w:csb0="001F01FF" w:csb1="00000000"/>
  </w:font>
  <w:font w:name="Gulim">
    <w:altName w:val="굴림"/>
    <w:panose1 w:val="020B0600000101010101"/>
    <w:charset w:val="81"/>
    <w:family w:val="moder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94090E" w14:textId="77777777" w:rsidR="00437CA8" w:rsidRDefault="00437CA8"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32C518D" w14:textId="77777777" w:rsidR="00437CA8" w:rsidRDefault="00437CA8"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641649D" w14:textId="77777777" w:rsidR="00437CA8" w:rsidRDefault="00437CA8"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5BDC56F" w14:textId="77777777" w:rsidR="00437CA8" w:rsidRDefault="00437CA8"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C4C0A77" w14:textId="77777777" w:rsidR="00437CA8" w:rsidRDefault="00437CA8"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B200F0" w14:textId="77777777" w:rsidR="00437CA8" w:rsidRDefault="00437CA8" w:rsidP="008747E0">
    <w:pPr>
      <w:pStyle w:val="Footer"/>
    </w:pPr>
    <w:r>
      <w:rPr>
        <w:noProof/>
        <w:lang w:val="en-US" w:eastAsia="ko-KR"/>
      </w:rPr>
      <mc:AlternateContent>
        <mc:Choice Requires="wps">
          <w:drawing>
            <wp:anchor distT="0" distB="0" distL="114300" distR="114300" simplePos="0" relativeHeight="251669504" behindDoc="0" locked="0" layoutInCell="1" allowOverlap="1" wp14:anchorId="1E1445D3" wp14:editId="0AC77497">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2DF9F3"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" strokecolor="#00558c [3204]" strokeweight="1pt">
              <w10:wrap anchorx="page" anchory="page"/>
            </v:line>
          </w:pict>
        </mc:Fallback>
      </mc:AlternateContent>
    </w:r>
    <w:r w:rsidRPr="00442889">
      <w:rPr>
        <w:noProof/>
        <w:lang w:val="en-US" w:eastAsia="ko-KR"/>
      </w:rPr>
      <w:drawing>
        <wp:anchor distT="0" distB="0" distL="114300" distR="114300" simplePos="0" relativeHeight="251661312" behindDoc="1" locked="0" layoutInCell="1" allowOverlap="1" wp14:anchorId="20D07C88" wp14:editId="79461F4E">
          <wp:simplePos x="0" y="0"/>
          <wp:positionH relativeFrom="page">
            <wp:posOffset>786696</wp:posOffset>
          </wp:positionH>
          <wp:positionV relativeFrom="page">
            <wp:posOffset>9725025</wp:posOffset>
          </wp:positionV>
          <wp:extent cx="3247200" cy="723600"/>
          <wp:effectExtent l="0" t="0" r="0" b="635"/>
          <wp:wrapNone/>
          <wp:docPr id="5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38DAC5DD" w14:textId="77777777" w:rsidR="00437CA8" w:rsidRPr="00ED2A8D" w:rsidRDefault="00437CA8" w:rsidP="008747E0">
    <w:pPr>
      <w:pStyle w:val="Footer"/>
    </w:pPr>
  </w:p>
  <w:p w14:paraId="3BE57E7C" w14:textId="77777777" w:rsidR="00437CA8" w:rsidRPr="00ED2A8D" w:rsidRDefault="00437CA8" w:rsidP="002735DD">
    <w:pPr>
      <w:pStyle w:val="Footer"/>
      <w:tabs>
        <w:tab w:val="left" w:pos="1781"/>
      </w:tabs>
    </w:pPr>
    <w:r>
      <w:tab/>
    </w:r>
  </w:p>
  <w:p w14:paraId="6E3234A9" w14:textId="77777777" w:rsidR="00437CA8" w:rsidRPr="00ED2A8D" w:rsidRDefault="00437CA8" w:rsidP="008747E0">
    <w:pPr>
      <w:pStyle w:val="Footer"/>
    </w:pPr>
  </w:p>
  <w:p w14:paraId="171B1A87" w14:textId="77777777" w:rsidR="00437CA8" w:rsidRPr="00ED2A8D" w:rsidRDefault="00437CA8"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17CD2B" w14:textId="77777777" w:rsidR="00437CA8" w:rsidRDefault="00437CA8" w:rsidP="00525922">
    <w:r>
      <w:rPr>
        <w:noProof/>
        <w:lang w:val="en-US" w:eastAsia="ko-KR"/>
      </w:rPr>
      <mc:AlternateContent>
        <mc:Choice Requires="wps">
          <w:drawing>
            <wp:anchor distT="0" distB="0" distL="114300" distR="114300" simplePos="0" relativeHeight="251691008" behindDoc="0" locked="0" layoutInCell="1" allowOverlap="1" wp14:anchorId="7A24D458" wp14:editId="71F3317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FA49BBC"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2A26AB96" w14:textId="77777777" w:rsidR="00437CA8" w:rsidRPr="00C907DF" w:rsidRDefault="00437CA8" w:rsidP="00525922">
    <w:pPr>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Pr="000870E9">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bCs/>
        <w:noProof/>
        <w:szCs w:val="15"/>
        <w:lang w:val="en-US"/>
      </w:rPr>
      <w:t>Error! Use the Home tab to apply Subtitle to the text that you want to appear here.</w:t>
    </w:r>
    <w:r>
      <w:rPr>
        <w:szCs w:val="15"/>
      </w:rPr>
      <w:fldChar w:fldCharType="end"/>
    </w:r>
  </w:p>
  <w:p w14:paraId="28915F7A" w14:textId="77777777" w:rsidR="00437CA8" w:rsidRPr="00525922" w:rsidRDefault="00437CA8"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DCABF8" w14:textId="77777777" w:rsidR="00437CA8" w:rsidRPr="00553815" w:rsidRDefault="00437CA8" w:rsidP="00827301">
    <w:pPr>
      <w:pStyle w:val="Footerportrait"/>
    </w:pPr>
  </w:p>
  <w:p w14:paraId="1CBE1034" w14:textId="24B0E169" w:rsidR="00437CA8" w:rsidRPr="000D1024" w:rsidRDefault="00257D88" w:rsidP="00827301">
    <w:pPr>
      <w:pStyle w:val="Footerportrait"/>
      <w:rPr>
        <w:rStyle w:val="PageNumber"/>
        <w:szCs w:val="15"/>
      </w:rPr>
    </w:pPr>
    <w:fldSimple w:instr=" STYLEREF  &quot;Document type&quot;  \* MERGEFORMAT ">
      <w:r w:rsidR="004F44EF">
        <w:t>IALA Guideline</w:t>
      </w:r>
    </w:fldSimple>
    <w:r w:rsidR="00437CA8" w:rsidRPr="000D1024">
      <w:t xml:space="preserve"> </w:t>
    </w:r>
    <w:fldSimple w:instr=" STYLEREF &quot;Document number&quot; \* MERGEFORMAT ">
      <w:r w:rsidR="004F44EF">
        <w:t>G1093</w:t>
      </w:r>
    </w:fldSimple>
    <w:r w:rsidR="00437CA8" w:rsidRPr="000D1024">
      <w:t xml:space="preserve"> </w:t>
    </w:r>
    <w:fldSimple w:instr=" STYLEREF &quot;Document name&quot; \* MERGEFORMAT ">
      <w:r w:rsidR="004F44EF">
        <w:t>THE Management OF Transfer of SURPLUS LIGHTHOUSE PROPERTY</w:t>
      </w:r>
    </w:fldSimple>
  </w:p>
  <w:p w14:paraId="42805CD4" w14:textId="325F57C2" w:rsidR="00437CA8" w:rsidRPr="00C907DF" w:rsidRDefault="00257D88" w:rsidP="00827301">
    <w:pPr>
      <w:pStyle w:val="Footerportrait"/>
    </w:pPr>
    <w:fldSimple w:instr=" STYLEREF &quot;Edition number&quot; \* MERGEFORMAT ">
      <w:r w:rsidR="004F44EF">
        <w:t>Edition x.x</w:t>
      </w:r>
    </w:fldSimple>
    <w:r w:rsidR="00437CA8">
      <w:t xml:space="preserve"> </w:t>
    </w:r>
    <w:fldSimple w:instr=" STYLEREF  MRN  \* MERGEFORMAT ">
      <w:r w:rsidR="004F44EF">
        <w:t>urn:mrn:iala:pub:gnnnn</w:t>
      </w:r>
    </w:fldSimple>
    <w:r w:rsidR="00437CA8" w:rsidRPr="00C907DF">
      <w:tab/>
    </w:r>
    <w:r w:rsidR="00437CA8">
      <w:t xml:space="preserve">P </w:t>
    </w:r>
    <w:r w:rsidR="00437CA8" w:rsidRPr="00C907DF">
      <w:rPr>
        <w:rStyle w:val="PageNumber"/>
        <w:szCs w:val="15"/>
      </w:rPr>
      <w:fldChar w:fldCharType="begin"/>
    </w:r>
    <w:r w:rsidR="00437CA8" w:rsidRPr="00C907DF">
      <w:rPr>
        <w:rStyle w:val="PageNumber"/>
        <w:szCs w:val="15"/>
      </w:rPr>
      <w:instrText xml:space="preserve">PAGE  </w:instrText>
    </w:r>
    <w:r w:rsidR="00437CA8" w:rsidRPr="00C907DF">
      <w:rPr>
        <w:rStyle w:val="PageNumber"/>
        <w:szCs w:val="15"/>
      </w:rPr>
      <w:fldChar w:fldCharType="separate"/>
    </w:r>
    <w:r w:rsidR="002F53EC">
      <w:rPr>
        <w:rStyle w:val="PageNumber"/>
        <w:szCs w:val="15"/>
      </w:rPr>
      <w:t>5</w:t>
    </w:r>
    <w:r w:rsidR="00437CA8"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486DC2" w14:textId="77777777" w:rsidR="00437CA8" w:rsidRPr="00553815" w:rsidRDefault="00437CA8" w:rsidP="00827301">
    <w:pPr>
      <w:pStyle w:val="Footerportrait"/>
    </w:pPr>
  </w:p>
  <w:p w14:paraId="11A77AE7" w14:textId="77777777" w:rsidR="00437CA8" w:rsidRPr="00C907DF" w:rsidRDefault="00437CA8" w:rsidP="00827301">
    <w:pPr>
      <w:pStyle w:val="Footerportrait"/>
      <w:rPr>
        <w:rStyle w:val="PageNumber"/>
        <w:szCs w:val="15"/>
      </w:rPr>
    </w:pPr>
    <w:fldSimple w:instr=" STYLEREF &quot;Document type&quot; \* MERGEFORMAT ">
      <w:r>
        <w:t>IALA Guideline</w:t>
      </w:r>
    </w:fldSimple>
    <w:r w:rsidRPr="00C907DF">
      <w:t xml:space="preserve"> </w:t>
    </w:r>
    <w:fldSimple w:instr=" STYLEREF &quot;Document number&quot; \* MERGEFORMAT ">
      <w:r w:rsidRPr="000870E9">
        <w:rPr>
          <w:bCs/>
        </w:rPr>
        <w:t>Gnnnn</w:t>
      </w:r>
    </w:fldSimple>
    <w:r w:rsidRPr="00C907DF">
      <w:t xml:space="preserve"> </w:t>
    </w:r>
    <w:fldSimple w:instr=" STYLEREF &quot;Document name&quot; \* MERGEFORMAT ">
      <w:r w:rsidRPr="000870E9">
        <w:rPr>
          <w:b w:val="0"/>
          <w:bCs/>
        </w:rPr>
        <w:t>Guideline title</w:t>
      </w:r>
    </w:fldSimple>
  </w:p>
  <w:p w14:paraId="6122B812" w14:textId="77777777" w:rsidR="00437CA8" w:rsidRPr="00525922" w:rsidRDefault="00437CA8" w:rsidP="00827301">
    <w:pPr>
      <w:pStyle w:val="Footerportrait"/>
    </w:pPr>
    <w:fldSimple w:instr=" STYLEREF &quot;Edition number&quot; \* MERGEFORMAT ">
      <w:r>
        <w:t>Edition x.x</w:t>
      </w:r>
    </w:fldSimple>
    <w:r>
      <w:t xml:space="preserve"> </w:t>
    </w:r>
    <w:fldSimple w:instr=" STYLEREF  MRN  \* MERGEFORMAT ">
      <w:r>
        <w:t>urn:mrn:iala:pub:gnnnn</w:t>
      </w:r>
    </w:fldSimple>
    <w:r w:rsidRPr="00C907DF">
      <w:tab/>
    </w:r>
    <w: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szCs w:val="15"/>
      </w:rPr>
      <w:t>3</w:t>
    </w:r>
    <w:r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9A2E8B" w14:textId="77777777" w:rsidR="00437CA8" w:rsidRDefault="00437CA8"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BF85F05" w14:textId="77777777" w:rsidR="00437CA8" w:rsidRDefault="00437CA8"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61F218" w14:textId="77777777" w:rsidR="00437CA8" w:rsidRDefault="00437CA8"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291742A" w14:textId="77777777" w:rsidR="00437CA8" w:rsidRDefault="00437CA8"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12222E1" w14:textId="77777777" w:rsidR="00437CA8" w:rsidRDefault="00437CA8" w:rsidP="005378A6">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36ACEA" w14:textId="77777777" w:rsidR="00437CA8" w:rsidRDefault="00437CA8" w:rsidP="00525922">
    <w:r>
      <w:rPr>
        <w:noProof/>
        <w:lang w:val="en-US" w:eastAsia="ko-KR"/>
      </w:rPr>
      <mc:AlternateContent>
        <mc:Choice Requires="wps">
          <w:drawing>
            <wp:anchor distT="0" distB="0" distL="114300" distR="114300" simplePos="0" relativeHeight="251736064" behindDoc="0" locked="0" layoutInCell="1" allowOverlap="1" wp14:anchorId="2BA708D8" wp14:editId="420B07A8">
              <wp:simplePos x="0" y="0"/>
              <wp:positionH relativeFrom="page">
                <wp:posOffset>281940</wp:posOffset>
              </wp:positionH>
              <wp:positionV relativeFrom="page">
                <wp:posOffset>9942195</wp:posOffset>
              </wp:positionV>
              <wp:extent cx="7128000" cy="0"/>
              <wp:effectExtent l="0" t="0" r="15875" b="19050"/>
              <wp:wrapNone/>
              <wp:docPr id="22"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CCD2CDB" id="Connecteur droit 11" o:spid="_x0000_s1026" style="position:absolute;z-index:2517360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3A9464AD" w14:textId="77777777" w:rsidR="00437CA8" w:rsidRPr="00C907DF" w:rsidRDefault="00437CA8" w:rsidP="00525922">
    <w:pPr>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Pr="000870E9">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bCs/>
        <w:noProof/>
        <w:szCs w:val="15"/>
        <w:lang w:val="en-US"/>
      </w:rPr>
      <w:t>Error! Use the Home tab to apply Subtitle to the text that you want to appear here.</w:t>
    </w:r>
    <w:r>
      <w:rPr>
        <w:szCs w:val="15"/>
      </w:rPr>
      <w:fldChar w:fldCharType="end"/>
    </w:r>
  </w:p>
  <w:p w14:paraId="69E70841" w14:textId="77777777" w:rsidR="00437CA8" w:rsidRPr="00525922" w:rsidRDefault="00437CA8"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B228C9" w14:textId="77777777" w:rsidR="00DB3033" w:rsidRDefault="00DB3033" w:rsidP="003274DB">
      <w:r>
        <w:separator/>
      </w:r>
    </w:p>
    <w:p w14:paraId="73D381E8" w14:textId="77777777" w:rsidR="00DB3033" w:rsidRDefault="00DB3033"/>
  </w:footnote>
  <w:footnote w:type="continuationSeparator" w:id="0">
    <w:p w14:paraId="6504F013" w14:textId="77777777" w:rsidR="00DB3033" w:rsidRDefault="00DB3033" w:rsidP="003274DB">
      <w:r>
        <w:continuationSeparator/>
      </w:r>
    </w:p>
    <w:p w14:paraId="097B02BD" w14:textId="77777777" w:rsidR="00DB3033" w:rsidRDefault="00DB303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0A23BD" w14:textId="77777777" w:rsidR="00437CA8" w:rsidRDefault="004F44EF">
    <w:pPr>
      <w:pStyle w:val="Header"/>
    </w:pPr>
    <w:r>
      <w:rPr>
        <w:noProof/>
      </w:rPr>
      <w:pict w14:anchorId="08452F2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2" o:spid="_x0000_s1075" type="#_x0000_t136" style="position:absolute;margin-left:0;margin-top:0;width:412.1pt;height:247.25pt;rotation:315;z-index:-25157427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612EF3C3">
        <v:shape id="_x0000_s1026"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ED91FF" w14:textId="77777777" w:rsidR="00437CA8" w:rsidRDefault="004F44EF">
    <w:pPr>
      <w:pStyle w:val="Header"/>
    </w:pPr>
    <w:r>
      <w:rPr>
        <w:noProof/>
      </w:rPr>
      <w:pict w14:anchorId="3DD815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1" o:spid="_x0000_s1084" type="#_x0000_t136" style="position:absolute;margin-left:0;margin-top:0;width:412.1pt;height:247.25pt;rotation:315;z-index:-2515558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5C9369C">
        <v:shape id="_x0000_s1046" type="#_x0000_t136" style="position:absolute;margin-left:0;margin-top:0;width:449.6pt;height:269.75pt;rotation:315;z-index:-2515886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E18900" w14:textId="77777777" w:rsidR="00437CA8" w:rsidRPr="00667792" w:rsidRDefault="004F44EF" w:rsidP="00667792">
    <w:pPr>
      <w:pStyle w:val="Header"/>
    </w:pPr>
    <w:r>
      <w:rPr>
        <w:noProof/>
      </w:rPr>
      <w:pict w14:anchorId="3340D00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2" o:spid="_x0000_s1085" type="#_x0000_t136" style="position:absolute;margin-left:0;margin-top:0;width:412.1pt;height:247.25pt;rotation:315;z-index:-2515537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437CA8">
      <w:rPr>
        <w:noProof/>
        <w:lang w:val="en-US" w:eastAsia="ko-KR"/>
      </w:rPr>
      <w:drawing>
        <wp:anchor distT="0" distB="0" distL="114300" distR="114300" simplePos="0" relativeHeight="251738112" behindDoc="1" locked="0" layoutInCell="1" allowOverlap="1" wp14:anchorId="587A19E0" wp14:editId="5F3F8515">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C5187AF" w14:textId="77777777" w:rsidR="00437CA8" w:rsidRPr="00DF47E2" w:rsidRDefault="00437CA8" w:rsidP="00DF47E2">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177244" w14:textId="77777777" w:rsidR="00437CA8" w:rsidRDefault="004F44EF">
    <w:pPr>
      <w:pStyle w:val="Header"/>
    </w:pPr>
    <w:r>
      <w:rPr>
        <w:noProof/>
      </w:rPr>
      <w:pict w14:anchorId="22E167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0" o:spid="_x0000_s1083" type="#_x0000_t136" style="position:absolute;margin-left:0;margin-top:0;width:412.1pt;height:247.25pt;rotation:315;z-index:-2515578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3C42B5F3">
        <v:shape id="_x0000_s1048" type="#_x0000_t136" style="position:absolute;margin-left:0;margin-top:0;width:449.6pt;height:269.75pt;rotation:315;z-index:-25158656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437CA8">
      <w:rPr>
        <w:noProof/>
        <w:lang w:val="en-US" w:eastAsia="ko-KR"/>
      </w:rPr>
      <w:drawing>
        <wp:anchor distT="0" distB="0" distL="114300" distR="114300" simplePos="0" relativeHeight="251735040" behindDoc="1" locked="0" layoutInCell="1" allowOverlap="1" wp14:anchorId="664B11DA" wp14:editId="68F8CB95">
          <wp:simplePos x="0" y="0"/>
          <wp:positionH relativeFrom="page">
            <wp:posOffset>6827653</wp:posOffset>
          </wp:positionH>
          <wp:positionV relativeFrom="page">
            <wp:posOffset>0</wp:posOffset>
          </wp:positionV>
          <wp:extent cx="720000" cy="720000"/>
          <wp:effectExtent l="0" t="0" r="4445" b="4445"/>
          <wp:wrapNone/>
          <wp:docPr id="2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E8769AE" w14:textId="77777777" w:rsidR="00437CA8" w:rsidRDefault="00437CA8">
    <w:pPr>
      <w:pStyle w:val="Header"/>
    </w:pPr>
  </w:p>
  <w:p w14:paraId="1BEDFCEC" w14:textId="77777777" w:rsidR="00437CA8" w:rsidRDefault="00437C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CE952E" w14:textId="77777777" w:rsidR="00437CA8" w:rsidRDefault="004F44EF" w:rsidP="00A87080">
    <w:pPr>
      <w:pStyle w:val="Header"/>
    </w:pPr>
    <w:r>
      <w:rPr>
        <w:noProof/>
      </w:rPr>
      <w:pict w14:anchorId="614A5EB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3" o:spid="_x0000_s1076" type="#_x0000_t136" style="position:absolute;margin-left:0;margin-top:0;width:412.1pt;height:247.25pt;rotation:315;z-index:-25157222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437CA8" w:rsidRPr="00442889">
      <w:rPr>
        <w:noProof/>
        <w:lang w:val="en-US" w:eastAsia="ko-KR"/>
      </w:rPr>
      <w:drawing>
        <wp:anchor distT="0" distB="0" distL="114300" distR="114300" simplePos="0" relativeHeight="251657214" behindDoc="1" locked="0" layoutInCell="1" allowOverlap="1" wp14:anchorId="7D1FD137" wp14:editId="48AA232A">
          <wp:simplePos x="0" y="0"/>
          <wp:positionH relativeFrom="page">
            <wp:posOffset>2880360</wp:posOffset>
          </wp:positionH>
          <wp:positionV relativeFrom="page">
            <wp:posOffset>180340</wp:posOffset>
          </wp:positionV>
          <wp:extent cx="1803600" cy="1440000"/>
          <wp:effectExtent l="0" t="0" r="6350" b="8255"/>
          <wp:wrapNone/>
          <wp:docPr id="5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5F3DB5BD" w14:textId="77777777" w:rsidR="00437CA8" w:rsidRDefault="00437CA8" w:rsidP="00A87080">
    <w:pPr>
      <w:pStyle w:val="Header"/>
    </w:pPr>
  </w:p>
  <w:p w14:paraId="5D71FE0F" w14:textId="77777777" w:rsidR="00437CA8" w:rsidRDefault="00437CA8" w:rsidP="00A87080">
    <w:pPr>
      <w:pStyle w:val="Header"/>
    </w:pPr>
  </w:p>
  <w:p w14:paraId="792C5C96" w14:textId="77777777" w:rsidR="00437CA8" w:rsidRDefault="00437CA8" w:rsidP="008747E0">
    <w:pPr>
      <w:pStyle w:val="Header"/>
    </w:pPr>
  </w:p>
  <w:p w14:paraId="35E8F036" w14:textId="77777777" w:rsidR="00437CA8" w:rsidRDefault="00437CA8" w:rsidP="008747E0">
    <w:pPr>
      <w:pStyle w:val="Header"/>
    </w:pPr>
  </w:p>
  <w:p w14:paraId="44541C10" w14:textId="77777777" w:rsidR="00437CA8" w:rsidRDefault="00437CA8" w:rsidP="008747E0">
    <w:pPr>
      <w:pStyle w:val="Header"/>
    </w:pPr>
    <w:r>
      <w:rPr>
        <w:noProof/>
        <w:lang w:val="en-US" w:eastAsia="ko-KR"/>
      </w:rPr>
      <w:drawing>
        <wp:anchor distT="0" distB="0" distL="114300" distR="114300" simplePos="0" relativeHeight="251656189" behindDoc="1" locked="0" layoutInCell="1" allowOverlap="1" wp14:anchorId="4213E996" wp14:editId="10F4E57A">
          <wp:simplePos x="0" y="0"/>
          <wp:positionH relativeFrom="page">
            <wp:posOffset>-9525</wp:posOffset>
          </wp:positionH>
          <wp:positionV relativeFrom="page">
            <wp:posOffset>1386205</wp:posOffset>
          </wp:positionV>
          <wp:extent cx="7555865" cy="2339975"/>
          <wp:effectExtent l="0" t="0" r="6985" b="3175"/>
          <wp:wrapNone/>
          <wp:docPr id="5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69C5607C" w14:textId="77777777" w:rsidR="00437CA8" w:rsidRDefault="00437CA8" w:rsidP="008747E0">
    <w:pPr>
      <w:pStyle w:val="Header"/>
    </w:pPr>
  </w:p>
  <w:p w14:paraId="54136A9C" w14:textId="77777777" w:rsidR="00437CA8" w:rsidRPr="00ED2A8D" w:rsidRDefault="00437CA8" w:rsidP="00A87080">
    <w:pPr>
      <w:pStyle w:val="Header"/>
    </w:pPr>
  </w:p>
  <w:p w14:paraId="07EDBC4A" w14:textId="77777777" w:rsidR="00437CA8" w:rsidRPr="00ED2A8D" w:rsidRDefault="00437CA8"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08B4B" w14:textId="77777777" w:rsidR="00437CA8" w:rsidRDefault="004F44EF">
    <w:pPr>
      <w:pStyle w:val="Header"/>
    </w:pPr>
    <w:r>
      <w:rPr>
        <w:noProof/>
      </w:rPr>
      <w:pict w14:anchorId="122BF27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1" o:spid="_x0000_s1074" type="#_x0000_t136" style="position:absolute;margin-left:0;margin-top:0;width:412.1pt;height:247.25pt;rotation:315;z-index:-2515763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437CA8">
      <w:rPr>
        <w:noProof/>
        <w:lang w:val="en-US" w:eastAsia="ko-KR"/>
      </w:rPr>
      <w:drawing>
        <wp:anchor distT="0" distB="0" distL="114300" distR="114300" simplePos="0" relativeHeight="251688960" behindDoc="1" locked="0" layoutInCell="1" allowOverlap="1" wp14:anchorId="3B0288B1" wp14:editId="6B42BBA0">
          <wp:simplePos x="0" y="0"/>
          <wp:positionH relativeFrom="page">
            <wp:posOffset>6827653</wp:posOffset>
          </wp:positionH>
          <wp:positionV relativeFrom="page">
            <wp:posOffset>0</wp:posOffset>
          </wp:positionV>
          <wp:extent cx="720000" cy="720000"/>
          <wp:effectExtent l="0" t="0" r="4445" b="4445"/>
          <wp:wrapNone/>
          <wp:docPr id="5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DCB4CD" w14:textId="77777777" w:rsidR="00437CA8" w:rsidRDefault="00437CA8">
    <w:pPr>
      <w:pStyle w:val="Header"/>
    </w:pPr>
  </w:p>
  <w:p w14:paraId="001126A5" w14:textId="77777777" w:rsidR="00437CA8" w:rsidRDefault="00437CA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B53E97" w14:textId="77777777" w:rsidR="00437CA8" w:rsidRDefault="004F44EF">
    <w:pPr>
      <w:pStyle w:val="Header"/>
    </w:pPr>
    <w:r>
      <w:rPr>
        <w:noProof/>
      </w:rPr>
      <w:pict w14:anchorId="19BDD2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5" o:spid="_x0000_s1078" type="#_x0000_t136" style="position:absolute;margin-left:0;margin-top:0;width:412.1pt;height:247.25pt;rotation:315;z-index:-2515681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23CFB4E">
        <v:shape id="_x0000_s1029"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1BB94E" w14:textId="77777777" w:rsidR="00437CA8" w:rsidRPr="00ED2A8D" w:rsidRDefault="004F44EF" w:rsidP="0010529E">
    <w:pPr>
      <w:pStyle w:val="Header"/>
      <w:tabs>
        <w:tab w:val="right" w:pos="10205"/>
      </w:tabs>
    </w:pPr>
    <w:r>
      <w:rPr>
        <w:noProof/>
      </w:rPr>
      <w:pict w14:anchorId="1881A2E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6" o:spid="_x0000_s1079" type="#_x0000_t136" style="position:absolute;margin-left:0;margin-top:0;width:412.1pt;height:247.25pt;rotation:315;z-index:-2515660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437CA8">
      <w:rPr>
        <w:noProof/>
        <w:lang w:val="en-US" w:eastAsia="ko-KR"/>
      </w:rPr>
      <w:drawing>
        <wp:anchor distT="0" distB="0" distL="114300" distR="114300" simplePos="0" relativeHeight="251658752" behindDoc="1" locked="0" layoutInCell="1" allowOverlap="1" wp14:anchorId="40540B6E" wp14:editId="734750AD">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437CA8">
      <w:tab/>
    </w:r>
  </w:p>
  <w:p w14:paraId="43A0E47D" w14:textId="77777777" w:rsidR="00437CA8" w:rsidRPr="00ED2A8D" w:rsidRDefault="00437CA8" w:rsidP="008747E0">
    <w:pPr>
      <w:pStyle w:val="Header"/>
    </w:pPr>
  </w:p>
  <w:p w14:paraId="0E6A72B2" w14:textId="77777777" w:rsidR="00437CA8" w:rsidRDefault="00437CA8" w:rsidP="008747E0">
    <w:pPr>
      <w:pStyle w:val="Header"/>
    </w:pPr>
  </w:p>
  <w:p w14:paraId="24BEBDA1" w14:textId="77777777" w:rsidR="00437CA8" w:rsidRDefault="00437CA8" w:rsidP="008747E0">
    <w:pPr>
      <w:pStyle w:val="Header"/>
    </w:pPr>
  </w:p>
  <w:p w14:paraId="447D8E59" w14:textId="77777777" w:rsidR="00437CA8" w:rsidRDefault="00437CA8" w:rsidP="008747E0">
    <w:pPr>
      <w:pStyle w:val="Header"/>
    </w:pPr>
  </w:p>
  <w:p w14:paraId="1FCAC367" w14:textId="77777777" w:rsidR="00437CA8" w:rsidRPr="00441393" w:rsidRDefault="00437CA8" w:rsidP="00441393">
    <w:pPr>
      <w:pStyle w:val="Contents"/>
    </w:pPr>
    <w:r>
      <w:t>DOCUMENT REVISION</w:t>
    </w:r>
  </w:p>
  <w:p w14:paraId="40B6FC71" w14:textId="77777777" w:rsidR="00437CA8" w:rsidRPr="00ED2A8D" w:rsidRDefault="00437CA8" w:rsidP="008747E0">
    <w:pPr>
      <w:pStyle w:val="Header"/>
    </w:pPr>
  </w:p>
  <w:p w14:paraId="46FF5377" w14:textId="77777777" w:rsidR="00437CA8" w:rsidRPr="00AC33A2" w:rsidRDefault="00437CA8"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A54F94" w14:textId="77777777" w:rsidR="00437CA8" w:rsidRDefault="004F44EF">
    <w:pPr>
      <w:pStyle w:val="Header"/>
    </w:pPr>
    <w:r>
      <w:rPr>
        <w:noProof/>
      </w:rPr>
      <w:pict w14:anchorId="11EEF5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4" o:spid="_x0000_s1077" type="#_x0000_t136" style="position:absolute;margin-left:0;margin-top:0;width:412.1pt;height:247.25pt;rotation:315;z-index:-2515701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1743BAEC">
        <v:shape id="_x0000_s1028"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9E79A8" w14:textId="77777777" w:rsidR="00437CA8" w:rsidRDefault="004F44EF">
    <w:pPr>
      <w:pStyle w:val="Header"/>
    </w:pPr>
    <w:r>
      <w:rPr>
        <w:noProof/>
      </w:rPr>
      <w:pict w14:anchorId="1C66B0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8" o:spid="_x0000_s1081" type="#_x0000_t136" style="position:absolute;margin-left:0;margin-top:0;width:412.1pt;height:247.25pt;rotation:315;z-index:-2515619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A8729A9">
        <v:shape id="_x0000_s1032"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81ED3C" w14:textId="77777777" w:rsidR="00437CA8" w:rsidRPr="00ED2A8D" w:rsidRDefault="004F44EF" w:rsidP="008747E0">
    <w:pPr>
      <w:pStyle w:val="Header"/>
    </w:pPr>
    <w:r>
      <w:rPr>
        <w:noProof/>
      </w:rPr>
      <w:pict w14:anchorId="1E55F3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3"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437CA8">
      <w:rPr>
        <w:noProof/>
        <w:lang w:val="en-US" w:eastAsia="ko-KR"/>
      </w:rPr>
      <w:drawing>
        <wp:anchor distT="0" distB="0" distL="114300" distR="114300" simplePos="0" relativeHeight="251653632" behindDoc="1" locked="0" layoutInCell="1" allowOverlap="1" wp14:anchorId="625D6F23" wp14:editId="357D815C">
          <wp:simplePos x="0" y="0"/>
          <wp:positionH relativeFrom="page">
            <wp:posOffset>6840855</wp:posOffset>
          </wp:positionH>
          <wp:positionV relativeFrom="page">
            <wp:posOffset>0</wp:posOffset>
          </wp:positionV>
          <wp:extent cx="720000" cy="720000"/>
          <wp:effectExtent l="0" t="0" r="4445" b="4445"/>
          <wp:wrapNone/>
          <wp:docPr id="1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A76FB47" w14:textId="77777777" w:rsidR="00437CA8" w:rsidRPr="00ED2A8D" w:rsidRDefault="00437CA8" w:rsidP="008747E0">
    <w:pPr>
      <w:pStyle w:val="Header"/>
    </w:pPr>
  </w:p>
  <w:p w14:paraId="01929C87" w14:textId="77777777" w:rsidR="00437CA8" w:rsidRDefault="00437CA8" w:rsidP="008747E0">
    <w:pPr>
      <w:pStyle w:val="Header"/>
    </w:pPr>
  </w:p>
  <w:p w14:paraId="708B9053" w14:textId="77777777" w:rsidR="00437CA8" w:rsidRDefault="00437CA8" w:rsidP="008747E0">
    <w:pPr>
      <w:pStyle w:val="Header"/>
    </w:pPr>
  </w:p>
  <w:p w14:paraId="352CC394" w14:textId="77777777" w:rsidR="00437CA8" w:rsidRDefault="00437CA8" w:rsidP="008747E0">
    <w:pPr>
      <w:pStyle w:val="Header"/>
    </w:pPr>
  </w:p>
  <w:p w14:paraId="1157DAB6" w14:textId="77777777" w:rsidR="00437CA8" w:rsidRPr="00441393" w:rsidRDefault="00437CA8" w:rsidP="00441393">
    <w:pPr>
      <w:pStyle w:val="Contents"/>
    </w:pPr>
    <w:r>
      <w:t>CONTENTS</w:t>
    </w:r>
  </w:p>
  <w:p w14:paraId="726E38B4" w14:textId="77777777" w:rsidR="00437CA8" w:rsidRDefault="00437CA8" w:rsidP="0078486B">
    <w:pPr>
      <w:pStyle w:val="Header"/>
      <w:spacing w:line="140" w:lineRule="exact"/>
    </w:pPr>
  </w:p>
  <w:p w14:paraId="09824143" w14:textId="77777777" w:rsidR="00437CA8" w:rsidRPr="00AC33A2" w:rsidRDefault="00437CA8"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D888EC" w14:textId="77777777" w:rsidR="00437CA8" w:rsidRPr="00ED2A8D" w:rsidRDefault="004F44EF" w:rsidP="00C716E5">
    <w:pPr>
      <w:pStyle w:val="Header"/>
    </w:pPr>
    <w:r>
      <w:rPr>
        <w:noProof/>
      </w:rPr>
      <w:pict w14:anchorId="2AD872A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7" o:spid="_x0000_s1080" type="#_x0000_t136" style="position:absolute;margin-left:0;margin-top:0;width:412.1pt;height:247.25pt;rotation:315;z-index:-2515640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437CA8">
      <w:rPr>
        <w:noProof/>
        <w:lang w:val="en-US" w:eastAsia="ko-KR"/>
      </w:rPr>
      <w:drawing>
        <wp:anchor distT="0" distB="0" distL="114300" distR="114300" simplePos="0" relativeHeight="251661824" behindDoc="1" locked="0" layoutInCell="1" allowOverlap="1" wp14:anchorId="4CB2338C" wp14:editId="6B707060">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509B141" w14:textId="77777777" w:rsidR="00437CA8" w:rsidRPr="00ED2A8D" w:rsidRDefault="00437CA8" w:rsidP="00C716E5">
    <w:pPr>
      <w:pStyle w:val="Header"/>
    </w:pPr>
  </w:p>
  <w:p w14:paraId="6FE1FDA0" w14:textId="77777777" w:rsidR="00437CA8" w:rsidRDefault="00437CA8" w:rsidP="00C716E5">
    <w:pPr>
      <w:pStyle w:val="Header"/>
    </w:pPr>
  </w:p>
  <w:p w14:paraId="4BCBDC5C" w14:textId="77777777" w:rsidR="00437CA8" w:rsidRDefault="00437CA8" w:rsidP="00C716E5">
    <w:pPr>
      <w:pStyle w:val="Header"/>
    </w:pPr>
  </w:p>
  <w:p w14:paraId="66D18B5D" w14:textId="77777777" w:rsidR="00437CA8" w:rsidRDefault="00437CA8" w:rsidP="00C716E5">
    <w:pPr>
      <w:pStyle w:val="Header"/>
    </w:pPr>
  </w:p>
  <w:p w14:paraId="0FDC55BD" w14:textId="77777777" w:rsidR="00437CA8" w:rsidRPr="00441393" w:rsidRDefault="00437CA8" w:rsidP="00C716E5">
    <w:pPr>
      <w:pStyle w:val="Contents"/>
    </w:pPr>
    <w:r>
      <w:t>CONTENTS</w:t>
    </w:r>
  </w:p>
  <w:p w14:paraId="12D1FD2B" w14:textId="77777777" w:rsidR="00437CA8" w:rsidRPr="00ED2A8D" w:rsidRDefault="00437CA8" w:rsidP="00C716E5">
    <w:pPr>
      <w:pStyle w:val="Header"/>
    </w:pPr>
  </w:p>
  <w:p w14:paraId="1CEA155E" w14:textId="77777777" w:rsidR="00437CA8" w:rsidRPr="00AC33A2" w:rsidRDefault="00437CA8" w:rsidP="00C716E5">
    <w:pPr>
      <w:pStyle w:val="Header"/>
      <w:spacing w:line="140" w:lineRule="exact"/>
    </w:pPr>
  </w:p>
  <w:p w14:paraId="5B427A35" w14:textId="77777777" w:rsidR="00437CA8" w:rsidRDefault="00437CA8">
    <w:pPr>
      <w:pStyle w:val="Header"/>
    </w:pPr>
    <w:r>
      <w:rPr>
        <w:noProof/>
        <w:lang w:val="en-US" w:eastAsia="ko-KR"/>
      </w:rPr>
      <w:drawing>
        <wp:anchor distT="0" distB="0" distL="114300" distR="114300" simplePos="0" relativeHeight="251657728" behindDoc="1" locked="0" layoutInCell="1" allowOverlap="1" wp14:anchorId="53941001" wp14:editId="7236DD63">
          <wp:simplePos x="0" y="0"/>
          <wp:positionH relativeFrom="page">
            <wp:posOffset>6827653</wp:posOffset>
          </wp:positionH>
          <wp:positionV relativeFrom="page">
            <wp:posOffset>0</wp:posOffset>
          </wp:positionV>
          <wp:extent cx="720000" cy="720000"/>
          <wp:effectExtent l="0" t="0" r="4445" b="4445"/>
          <wp:wrapNone/>
          <wp:docPr id="1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65AC18A"/>
    <w:lvl w:ilvl="0">
      <w:start w:val="1"/>
      <w:numFmt w:val="decimal"/>
      <w:lvlText w:val="%1."/>
      <w:lvlJc w:val="left"/>
      <w:pPr>
        <w:tabs>
          <w:tab w:val="num" w:pos="9997"/>
        </w:tabs>
        <w:ind w:left="9997" w:hanging="360"/>
      </w:pPr>
    </w:lvl>
  </w:abstractNum>
  <w:abstractNum w:abstractNumId="1" w15:restartNumberingAfterBreak="0">
    <w:nsid w:val="FFFFFF7D"/>
    <w:multiLevelType w:val="singleLevel"/>
    <w:tmpl w:val="D5748132"/>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C8C6CBAC"/>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BD40DCC4"/>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94CE139C"/>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7804468"/>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4FED07C"/>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E5FA31F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BD820B4"/>
    <w:multiLevelType w:val="hybridMultilevel"/>
    <w:tmpl w:val="B0A4315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2"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3"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4"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67AB4D84"/>
    <w:multiLevelType w:val="multilevel"/>
    <w:tmpl w:val="FFDC463E"/>
    <w:lvl w:ilvl="0">
      <w:start w:val="1"/>
      <w:numFmt w:val="decimal"/>
      <w:pStyle w:val="Heading1"/>
      <w:lvlText w:val="%1."/>
      <w:lvlJc w:val="left"/>
      <w:pPr>
        <w:tabs>
          <w:tab w:val="num" w:pos="3686"/>
        </w:tabs>
        <w:ind w:left="4395"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28"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223835926">
    <w:abstractNumId w:val="22"/>
  </w:num>
  <w:num w:numId="2" w16cid:durableId="703749220">
    <w:abstractNumId w:val="30"/>
  </w:num>
  <w:num w:numId="3" w16cid:durableId="760492410">
    <w:abstractNumId w:val="11"/>
  </w:num>
  <w:num w:numId="4" w16cid:durableId="702369004">
    <w:abstractNumId w:val="17"/>
  </w:num>
  <w:num w:numId="5" w16cid:durableId="2144619660">
    <w:abstractNumId w:val="12"/>
  </w:num>
  <w:num w:numId="6" w16cid:durableId="1311324814">
    <w:abstractNumId w:val="16"/>
  </w:num>
  <w:num w:numId="7" w16cid:durableId="1033848932">
    <w:abstractNumId w:val="21"/>
  </w:num>
  <w:num w:numId="8" w16cid:durableId="1110592701">
    <w:abstractNumId w:val="10"/>
  </w:num>
  <w:num w:numId="9" w16cid:durableId="1473788714">
    <w:abstractNumId w:val="15"/>
  </w:num>
  <w:num w:numId="10" w16cid:durableId="2052194738">
    <w:abstractNumId w:val="7"/>
  </w:num>
  <w:num w:numId="11" w16cid:durableId="219487092">
    <w:abstractNumId w:val="26"/>
  </w:num>
  <w:num w:numId="12" w16cid:durableId="1959485542">
    <w:abstractNumId w:val="28"/>
  </w:num>
  <w:num w:numId="13" w16cid:durableId="836766411">
    <w:abstractNumId w:val="13"/>
  </w:num>
  <w:num w:numId="14" w16cid:durableId="1240361356">
    <w:abstractNumId w:val="29"/>
  </w:num>
  <w:num w:numId="15" w16cid:durableId="616569432">
    <w:abstractNumId w:val="14"/>
  </w:num>
  <w:num w:numId="16" w16cid:durableId="1902476056">
    <w:abstractNumId w:val="25"/>
  </w:num>
  <w:num w:numId="17" w16cid:durableId="1710644695">
    <w:abstractNumId w:val="20"/>
  </w:num>
  <w:num w:numId="18" w16cid:durableId="2122412164">
    <w:abstractNumId w:val="8"/>
  </w:num>
  <w:num w:numId="19" w16cid:durableId="1645623531">
    <w:abstractNumId w:val="2"/>
  </w:num>
  <w:num w:numId="20" w16cid:durableId="616834312">
    <w:abstractNumId w:val="6"/>
  </w:num>
  <w:num w:numId="21" w16cid:durableId="1347246512">
    <w:abstractNumId w:val="5"/>
  </w:num>
  <w:num w:numId="22" w16cid:durableId="38670436">
    <w:abstractNumId w:val="4"/>
  </w:num>
  <w:num w:numId="23" w16cid:durableId="1779253134">
    <w:abstractNumId w:val="3"/>
  </w:num>
  <w:num w:numId="24" w16cid:durableId="228005078">
    <w:abstractNumId w:val="1"/>
  </w:num>
  <w:num w:numId="25" w16cid:durableId="2117940215">
    <w:abstractNumId w:val="0"/>
  </w:num>
  <w:num w:numId="26" w16cid:durableId="1930968359">
    <w:abstractNumId w:val="26"/>
  </w:num>
  <w:num w:numId="27" w16cid:durableId="1448311429">
    <w:abstractNumId w:val="24"/>
  </w:num>
  <w:num w:numId="28" w16cid:durableId="643310822">
    <w:abstractNumId w:val="22"/>
  </w:num>
  <w:num w:numId="29" w16cid:durableId="1034497553">
    <w:abstractNumId w:val="30"/>
  </w:num>
  <w:num w:numId="30" w16cid:durableId="1707023776">
    <w:abstractNumId w:val="28"/>
  </w:num>
  <w:num w:numId="31" w16cid:durableId="1989437171">
    <w:abstractNumId w:val="29"/>
  </w:num>
  <w:num w:numId="32" w16cid:durableId="845829505">
    <w:abstractNumId w:val="27"/>
  </w:num>
  <w:num w:numId="33" w16cid:durableId="577591229">
    <w:abstractNumId w:val="27"/>
  </w:num>
  <w:num w:numId="34" w16cid:durableId="709916719">
    <w:abstractNumId w:val="26"/>
  </w:num>
  <w:num w:numId="35" w16cid:durableId="1385527165">
    <w:abstractNumId w:val="26"/>
  </w:num>
  <w:num w:numId="36" w16cid:durableId="1906838900">
    <w:abstractNumId w:val="26"/>
  </w:num>
  <w:num w:numId="37" w16cid:durableId="162816511">
    <w:abstractNumId w:val="26"/>
  </w:num>
  <w:num w:numId="38" w16cid:durableId="1719233231">
    <w:abstractNumId w:val="26"/>
  </w:num>
  <w:num w:numId="39" w16cid:durableId="799036837">
    <w:abstractNumId w:val="19"/>
  </w:num>
  <w:num w:numId="40" w16cid:durableId="8691050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573812438">
    <w:abstractNumId w:val="18"/>
  </w:num>
  <w:num w:numId="42" w16cid:durableId="107894323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5894188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758745333">
    <w:abstractNumId w:val="23"/>
  </w:num>
  <w:num w:numId="45" w16cid:durableId="974334975">
    <w:abstractNumId w:val="9"/>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arah-Jane Lakshman">
    <w15:presenceInfo w15:providerId="AD" w15:userId="S::Sarah-Jane.Lakshman@trinityhouse.co.uk::48e4f0c8-2e0a-4327-a9e3-8e341179a7d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sv-SE" w:vendorID="64" w:dllVersion="0" w:nlCheck="1" w:checkStyle="0"/>
  <w:activeWritingStyle w:appName="MSWord" w:lang="ko-KR" w:vendorID="64" w:dllVersion="5" w:nlCheck="1" w:checkStyle="1"/>
  <w:activeWritingStyle w:appName="MSWord" w:lang="en-GB" w:vendorID="2" w:dllVersion="6" w:checkStyle="0"/>
  <w:proofState w:spelling="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revisionView w:markup="0"/>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70E9"/>
    <w:rsid w:val="00001616"/>
    <w:rsid w:val="000044E8"/>
    <w:rsid w:val="00012416"/>
    <w:rsid w:val="0001616D"/>
    <w:rsid w:val="00016839"/>
    <w:rsid w:val="000174F9"/>
    <w:rsid w:val="00023AEB"/>
    <w:rsid w:val="00023DCD"/>
    <w:rsid w:val="000249C2"/>
    <w:rsid w:val="000258F6"/>
    <w:rsid w:val="00026DC6"/>
    <w:rsid w:val="00027B36"/>
    <w:rsid w:val="00027CDE"/>
    <w:rsid w:val="0003120D"/>
    <w:rsid w:val="000323B0"/>
    <w:rsid w:val="0003449E"/>
    <w:rsid w:val="00035E1F"/>
    <w:rsid w:val="000379A7"/>
    <w:rsid w:val="00040EB8"/>
    <w:rsid w:val="000414E2"/>
    <w:rsid w:val="000418CA"/>
    <w:rsid w:val="0004255E"/>
    <w:rsid w:val="00050F02"/>
    <w:rsid w:val="0005129B"/>
    <w:rsid w:val="00051724"/>
    <w:rsid w:val="0005449E"/>
    <w:rsid w:val="00054C7D"/>
    <w:rsid w:val="00055938"/>
    <w:rsid w:val="00055ACB"/>
    <w:rsid w:val="00057B6D"/>
    <w:rsid w:val="00061A7B"/>
    <w:rsid w:val="00062874"/>
    <w:rsid w:val="00073FC6"/>
    <w:rsid w:val="00080D09"/>
    <w:rsid w:val="00082C85"/>
    <w:rsid w:val="00083686"/>
    <w:rsid w:val="0008654C"/>
    <w:rsid w:val="000870E9"/>
    <w:rsid w:val="000904ED"/>
    <w:rsid w:val="00091545"/>
    <w:rsid w:val="0009165E"/>
    <w:rsid w:val="00091DB7"/>
    <w:rsid w:val="00094FC9"/>
    <w:rsid w:val="000954DE"/>
    <w:rsid w:val="000A050D"/>
    <w:rsid w:val="000A27A8"/>
    <w:rsid w:val="000A4106"/>
    <w:rsid w:val="000A49B9"/>
    <w:rsid w:val="000A59C0"/>
    <w:rsid w:val="000A78A9"/>
    <w:rsid w:val="000B1A90"/>
    <w:rsid w:val="000B2356"/>
    <w:rsid w:val="000B577B"/>
    <w:rsid w:val="000C2133"/>
    <w:rsid w:val="000C2857"/>
    <w:rsid w:val="000C711B"/>
    <w:rsid w:val="000D1024"/>
    <w:rsid w:val="000D14CE"/>
    <w:rsid w:val="000D1D15"/>
    <w:rsid w:val="000D2431"/>
    <w:rsid w:val="000D76B7"/>
    <w:rsid w:val="000E0912"/>
    <w:rsid w:val="000E0EC6"/>
    <w:rsid w:val="000E34D3"/>
    <w:rsid w:val="000E3954"/>
    <w:rsid w:val="000E3E52"/>
    <w:rsid w:val="000F0F9F"/>
    <w:rsid w:val="000F22C4"/>
    <w:rsid w:val="000F2C51"/>
    <w:rsid w:val="000F3F43"/>
    <w:rsid w:val="000F58ED"/>
    <w:rsid w:val="0010529E"/>
    <w:rsid w:val="00113086"/>
    <w:rsid w:val="00113D5B"/>
    <w:rsid w:val="00113F8F"/>
    <w:rsid w:val="001158A6"/>
    <w:rsid w:val="00116655"/>
    <w:rsid w:val="00117AC3"/>
    <w:rsid w:val="001204AB"/>
    <w:rsid w:val="00121616"/>
    <w:rsid w:val="00121F1B"/>
    <w:rsid w:val="001236B5"/>
    <w:rsid w:val="0012387B"/>
    <w:rsid w:val="001349DB"/>
    <w:rsid w:val="00134B86"/>
    <w:rsid w:val="00135AEB"/>
    <w:rsid w:val="00136E58"/>
    <w:rsid w:val="0014060A"/>
    <w:rsid w:val="0014597C"/>
    <w:rsid w:val="00147755"/>
    <w:rsid w:val="00151BFE"/>
    <w:rsid w:val="0015265A"/>
    <w:rsid w:val="001535C6"/>
    <w:rsid w:val="001547F9"/>
    <w:rsid w:val="001607D8"/>
    <w:rsid w:val="00160B67"/>
    <w:rsid w:val="00161325"/>
    <w:rsid w:val="00161401"/>
    <w:rsid w:val="00162612"/>
    <w:rsid w:val="001635F3"/>
    <w:rsid w:val="00173602"/>
    <w:rsid w:val="00175710"/>
    <w:rsid w:val="00176BB8"/>
    <w:rsid w:val="00181E68"/>
    <w:rsid w:val="00182B9C"/>
    <w:rsid w:val="00184427"/>
    <w:rsid w:val="00186FED"/>
    <w:rsid w:val="001875B1"/>
    <w:rsid w:val="00191120"/>
    <w:rsid w:val="0019173E"/>
    <w:rsid w:val="0019406D"/>
    <w:rsid w:val="001A2DCA"/>
    <w:rsid w:val="001A6512"/>
    <w:rsid w:val="001A73B9"/>
    <w:rsid w:val="001B0A10"/>
    <w:rsid w:val="001B1EF6"/>
    <w:rsid w:val="001B2A35"/>
    <w:rsid w:val="001B339A"/>
    <w:rsid w:val="001B60A6"/>
    <w:rsid w:val="001C2971"/>
    <w:rsid w:val="001C650B"/>
    <w:rsid w:val="001C72B5"/>
    <w:rsid w:val="001C77FB"/>
    <w:rsid w:val="001D11AC"/>
    <w:rsid w:val="001D1845"/>
    <w:rsid w:val="001D2E7A"/>
    <w:rsid w:val="001D3992"/>
    <w:rsid w:val="001D4A3E"/>
    <w:rsid w:val="001D6BC3"/>
    <w:rsid w:val="001E32E5"/>
    <w:rsid w:val="001E37D0"/>
    <w:rsid w:val="001E3AEE"/>
    <w:rsid w:val="001E416D"/>
    <w:rsid w:val="001E5837"/>
    <w:rsid w:val="001E5E48"/>
    <w:rsid w:val="001F3072"/>
    <w:rsid w:val="001F4EF8"/>
    <w:rsid w:val="001F574E"/>
    <w:rsid w:val="001F5AB1"/>
    <w:rsid w:val="00200579"/>
    <w:rsid w:val="00201337"/>
    <w:rsid w:val="00201579"/>
    <w:rsid w:val="002022EA"/>
    <w:rsid w:val="00202CB2"/>
    <w:rsid w:val="002044E9"/>
    <w:rsid w:val="00205B17"/>
    <w:rsid w:val="00205D9B"/>
    <w:rsid w:val="00207B11"/>
    <w:rsid w:val="002115A6"/>
    <w:rsid w:val="00213436"/>
    <w:rsid w:val="00214033"/>
    <w:rsid w:val="002176C4"/>
    <w:rsid w:val="002204DA"/>
    <w:rsid w:val="0022371A"/>
    <w:rsid w:val="00224DAB"/>
    <w:rsid w:val="0022582A"/>
    <w:rsid w:val="00233EE1"/>
    <w:rsid w:val="00237785"/>
    <w:rsid w:val="00237A2B"/>
    <w:rsid w:val="002406D3"/>
    <w:rsid w:val="002408A6"/>
    <w:rsid w:val="00244AF8"/>
    <w:rsid w:val="00246546"/>
    <w:rsid w:val="0025035A"/>
    <w:rsid w:val="002505E9"/>
    <w:rsid w:val="00251FB9"/>
    <w:rsid w:val="002520AD"/>
    <w:rsid w:val="00255FD9"/>
    <w:rsid w:val="0025660A"/>
    <w:rsid w:val="0025749D"/>
    <w:rsid w:val="00257D88"/>
    <w:rsid w:val="00257DF8"/>
    <w:rsid w:val="00257E4A"/>
    <w:rsid w:val="0026038D"/>
    <w:rsid w:val="002617BA"/>
    <w:rsid w:val="00262E69"/>
    <w:rsid w:val="00263D78"/>
    <w:rsid w:val="0027175D"/>
    <w:rsid w:val="002735DD"/>
    <w:rsid w:val="00274B97"/>
    <w:rsid w:val="00283E0A"/>
    <w:rsid w:val="00286250"/>
    <w:rsid w:val="00290909"/>
    <w:rsid w:val="00292F07"/>
    <w:rsid w:val="00296AE1"/>
    <w:rsid w:val="0029793F"/>
    <w:rsid w:val="002A1C42"/>
    <w:rsid w:val="002A5112"/>
    <w:rsid w:val="002A617C"/>
    <w:rsid w:val="002A71CF"/>
    <w:rsid w:val="002B3E9D"/>
    <w:rsid w:val="002B5295"/>
    <w:rsid w:val="002B574E"/>
    <w:rsid w:val="002B667F"/>
    <w:rsid w:val="002C1E38"/>
    <w:rsid w:val="002C605E"/>
    <w:rsid w:val="002C77F4"/>
    <w:rsid w:val="002D0869"/>
    <w:rsid w:val="002D548B"/>
    <w:rsid w:val="002D78FE"/>
    <w:rsid w:val="002E0605"/>
    <w:rsid w:val="002E4993"/>
    <w:rsid w:val="002E560E"/>
    <w:rsid w:val="002E5BAC"/>
    <w:rsid w:val="002E6010"/>
    <w:rsid w:val="002E6708"/>
    <w:rsid w:val="002E7635"/>
    <w:rsid w:val="002F2576"/>
    <w:rsid w:val="002F265A"/>
    <w:rsid w:val="002F3B40"/>
    <w:rsid w:val="002F53EC"/>
    <w:rsid w:val="002F6B3D"/>
    <w:rsid w:val="002F7C71"/>
    <w:rsid w:val="003032C4"/>
    <w:rsid w:val="0030413F"/>
    <w:rsid w:val="00305EFE"/>
    <w:rsid w:val="00307E08"/>
    <w:rsid w:val="00313B4B"/>
    <w:rsid w:val="00313D13"/>
    <w:rsid w:val="00313D85"/>
    <w:rsid w:val="00314336"/>
    <w:rsid w:val="00315CE3"/>
    <w:rsid w:val="0031629B"/>
    <w:rsid w:val="00317F49"/>
    <w:rsid w:val="00321DE1"/>
    <w:rsid w:val="003251FE"/>
    <w:rsid w:val="00325D9A"/>
    <w:rsid w:val="00326BB4"/>
    <w:rsid w:val="003274DB"/>
    <w:rsid w:val="003276DE"/>
    <w:rsid w:val="00327FBF"/>
    <w:rsid w:val="003327BE"/>
    <w:rsid w:val="00332A7B"/>
    <w:rsid w:val="003343E0"/>
    <w:rsid w:val="00335E40"/>
    <w:rsid w:val="003436E0"/>
    <w:rsid w:val="00344408"/>
    <w:rsid w:val="00345E37"/>
    <w:rsid w:val="00346A15"/>
    <w:rsid w:val="00346AEC"/>
    <w:rsid w:val="00347F3E"/>
    <w:rsid w:val="00350A92"/>
    <w:rsid w:val="003529FC"/>
    <w:rsid w:val="00356472"/>
    <w:rsid w:val="003621C3"/>
    <w:rsid w:val="00362816"/>
    <w:rsid w:val="0036382D"/>
    <w:rsid w:val="00372540"/>
    <w:rsid w:val="00380350"/>
    <w:rsid w:val="00380B4E"/>
    <w:rsid w:val="00380F88"/>
    <w:rsid w:val="003816E4"/>
    <w:rsid w:val="00381F7A"/>
    <w:rsid w:val="00382C28"/>
    <w:rsid w:val="0038597C"/>
    <w:rsid w:val="0039131E"/>
    <w:rsid w:val="003976B8"/>
    <w:rsid w:val="003A04A6"/>
    <w:rsid w:val="003A6102"/>
    <w:rsid w:val="003A6A32"/>
    <w:rsid w:val="003A7759"/>
    <w:rsid w:val="003A7F6E"/>
    <w:rsid w:val="003B03EA"/>
    <w:rsid w:val="003B518A"/>
    <w:rsid w:val="003B76F0"/>
    <w:rsid w:val="003C138B"/>
    <w:rsid w:val="003C7C34"/>
    <w:rsid w:val="003D0F37"/>
    <w:rsid w:val="003D2A7A"/>
    <w:rsid w:val="003D3B40"/>
    <w:rsid w:val="003D5150"/>
    <w:rsid w:val="003D6614"/>
    <w:rsid w:val="003D6915"/>
    <w:rsid w:val="003E1065"/>
    <w:rsid w:val="003E2EAC"/>
    <w:rsid w:val="003F1C3A"/>
    <w:rsid w:val="003F4DE4"/>
    <w:rsid w:val="003F70D2"/>
    <w:rsid w:val="004119E4"/>
    <w:rsid w:val="00414698"/>
    <w:rsid w:val="00415649"/>
    <w:rsid w:val="00416F64"/>
    <w:rsid w:val="0042565E"/>
    <w:rsid w:val="00432C05"/>
    <w:rsid w:val="00437CA8"/>
    <w:rsid w:val="00440379"/>
    <w:rsid w:val="00441393"/>
    <w:rsid w:val="00441841"/>
    <w:rsid w:val="004441F8"/>
    <w:rsid w:val="00447CF0"/>
    <w:rsid w:val="00450382"/>
    <w:rsid w:val="00456DE1"/>
    <w:rsid w:val="00456F10"/>
    <w:rsid w:val="00460425"/>
    <w:rsid w:val="00460D62"/>
    <w:rsid w:val="00461DDC"/>
    <w:rsid w:val="00462095"/>
    <w:rsid w:val="00463B48"/>
    <w:rsid w:val="0046464D"/>
    <w:rsid w:val="00464E00"/>
    <w:rsid w:val="00474746"/>
    <w:rsid w:val="00476942"/>
    <w:rsid w:val="00477D62"/>
    <w:rsid w:val="00481C27"/>
    <w:rsid w:val="004871A2"/>
    <w:rsid w:val="004908B8"/>
    <w:rsid w:val="004920D1"/>
    <w:rsid w:val="00492A8D"/>
    <w:rsid w:val="00492B6D"/>
    <w:rsid w:val="0049328E"/>
    <w:rsid w:val="00493B3C"/>
    <w:rsid w:val="004944C8"/>
    <w:rsid w:val="00495DDA"/>
    <w:rsid w:val="004A0EBF"/>
    <w:rsid w:val="004A28B2"/>
    <w:rsid w:val="004A3751"/>
    <w:rsid w:val="004A4EC4"/>
    <w:rsid w:val="004A5E97"/>
    <w:rsid w:val="004B643F"/>
    <w:rsid w:val="004B65D9"/>
    <w:rsid w:val="004B744B"/>
    <w:rsid w:val="004B7810"/>
    <w:rsid w:val="004C0B69"/>
    <w:rsid w:val="004C0C7E"/>
    <w:rsid w:val="004C0E4B"/>
    <w:rsid w:val="004C1BEC"/>
    <w:rsid w:val="004C26E0"/>
    <w:rsid w:val="004D4109"/>
    <w:rsid w:val="004D6C87"/>
    <w:rsid w:val="004D73DE"/>
    <w:rsid w:val="004E0BBB"/>
    <w:rsid w:val="004E0BE5"/>
    <w:rsid w:val="004E1719"/>
    <w:rsid w:val="004E1D57"/>
    <w:rsid w:val="004E2F16"/>
    <w:rsid w:val="004E795E"/>
    <w:rsid w:val="004F1A3A"/>
    <w:rsid w:val="004F26FF"/>
    <w:rsid w:val="004F2AA4"/>
    <w:rsid w:val="004F44EF"/>
    <w:rsid w:val="004F4AAE"/>
    <w:rsid w:val="004F5930"/>
    <w:rsid w:val="004F6196"/>
    <w:rsid w:val="00503044"/>
    <w:rsid w:val="005051B1"/>
    <w:rsid w:val="005068C9"/>
    <w:rsid w:val="00506A15"/>
    <w:rsid w:val="00511FCE"/>
    <w:rsid w:val="00520844"/>
    <w:rsid w:val="005222AF"/>
    <w:rsid w:val="00523666"/>
    <w:rsid w:val="005253B6"/>
    <w:rsid w:val="00525922"/>
    <w:rsid w:val="00526234"/>
    <w:rsid w:val="00530952"/>
    <w:rsid w:val="00534F34"/>
    <w:rsid w:val="0053692E"/>
    <w:rsid w:val="00536C1B"/>
    <w:rsid w:val="005378A6"/>
    <w:rsid w:val="00540D36"/>
    <w:rsid w:val="00541ED1"/>
    <w:rsid w:val="00547837"/>
    <w:rsid w:val="00551C89"/>
    <w:rsid w:val="00553815"/>
    <w:rsid w:val="00553FE0"/>
    <w:rsid w:val="00557434"/>
    <w:rsid w:val="00562074"/>
    <w:rsid w:val="005637BF"/>
    <w:rsid w:val="00563C63"/>
    <w:rsid w:val="00563D55"/>
    <w:rsid w:val="00566039"/>
    <w:rsid w:val="00566642"/>
    <w:rsid w:val="00566C52"/>
    <w:rsid w:val="00574ADC"/>
    <w:rsid w:val="005805D2"/>
    <w:rsid w:val="00581239"/>
    <w:rsid w:val="005840E4"/>
    <w:rsid w:val="00586C48"/>
    <w:rsid w:val="00586C66"/>
    <w:rsid w:val="00593EFC"/>
    <w:rsid w:val="00595415"/>
    <w:rsid w:val="00595603"/>
    <w:rsid w:val="00597652"/>
    <w:rsid w:val="005A0703"/>
    <w:rsid w:val="005A080B"/>
    <w:rsid w:val="005B12A5"/>
    <w:rsid w:val="005C161A"/>
    <w:rsid w:val="005C1BCB"/>
    <w:rsid w:val="005C2312"/>
    <w:rsid w:val="005C4735"/>
    <w:rsid w:val="005C5C63"/>
    <w:rsid w:val="005D03E9"/>
    <w:rsid w:val="005D304B"/>
    <w:rsid w:val="005D329D"/>
    <w:rsid w:val="005D3920"/>
    <w:rsid w:val="005D6E5D"/>
    <w:rsid w:val="005E091A"/>
    <w:rsid w:val="005E3989"/>
    <w:rsid w:val="005E4659"/>
    <w:rsid w:val="005E5AB7"/>
    <w:rsid w:val="005E5D37"/>
    <w:rsid w:val="005E657A"/>
    <w:rsid w:val="005E7063"/>
    <w:rsid w:val="005F1314"/>
    <w:rsid w:val="005F1386"/>
    <w:rsid w:val="005F17C2"/>
    <w:rsid w:val="005F4BA4"/>
    <w:rsid w:val="005F7025"/>
    <w:rsid w:val="00600C2B"/>
    <w:rsid w:val="00605998"/>
    <w:rsid w:val="00606A1F"/>
    <w:rsid w:val="00611BF0"/>
    <w:rsid w:val="006127AC"/>
    <w:rsid w:val="00622471"/>
    <w:rsid w:val="00622C26"/>
    <w:rsid w:val="0062743A"/>
    <w:rsid w:val="00634A78"/>
    <w:rsid w:val="0064031F"/>
    <w:rsid w:val="00641794"/>
    <w:rsid w:val="00642025"/>
    <w:rsid w:val="00642ECC"/>
    <w:rsid w:val="00646AFD"/>
    <w:rsid w:val="00646E87"/>
    <w:rsid w:val="0065107F"/>
    <w:rsid w:val="0065546E"/>
    <w:rsid w:val="00661946"/>
    <w:rsid w:val="00664D43"/>
    <w:rsid w:val="00665A82"/>
    <w:rsid w:val="00666061"/>
    <w:rsid w:val="00666380"/>
    <w:rsid w:val="00667217"/>
    <w:rsid w:val="00667424"/>
    <w:rsid w:val="00667792"/>
    <w:rsid w:val="0067152C"/>
    <w:rsid w:val="00671677"/>
    <w:rsid w:val="006744D8"/>
    <w:rsid w:val="006750F2"/>
    <w:rsid w:val="006752D6"/>
    <w:rsid w:val="00675E02"/>
    <w:rsid w:val="006848A6"/>
    <w:rsid w:val="0068553C"/>
    <w:rsid w:val="00685833"/>
    <w:rsid w:val="00685F34"/>
    <w:rsid w:val="00690B2F"/>
    <w:rsid w:val="00693B1F"/>
    <w:rsid w:val="0069533F"/>
    <w:rsid w:val="00695656"/>
    <w:rsid w:val="00695E26"/>
    <w:rsid w:val="006975A8"/>
    <w:rsid w:val="00697D8B"/>
    <w:rsid w:val="006A1012"/>
    <w:rsid w:val="006A57C4"/>
    <w:rsid w:val="006A7DF5"/>
    <w:rsid w:val="006B54CC"/>
    <w:rsid w:val="006B7FA8"/>
    <w:rsid w:val="006C1376"/>
    <w:rsid w:val="006C35CC"/>
    <w:rsid w:val="006C48F9"/>
    <w:rsid w:val="006C761C"/>
    <w:rsid w:val="006E0E7D"/>
    <w:rsid w:val="006E10BF"/>
    <w:rsid w:val="006E63B5"/>
    <w:rsid w:val="006F0533"/>
    <w:rsid w:val="006F1C14"/>
    <w:rsid w:val="006F4B80"/>
    <w:rsid w:val="00703A6A"/>
    <w:rsid w:val="00705DEB"/>
    <w:rsid w:val="00715F88"/>
    <w:rsid w:val="00722236"/>
    <w:rsid w:val="00723824"/>
    <w:rsid w:val="00723F0E"/>
    <w:rsid w:val="00725CCA"/>
    <w:rsid w:val="0072737A"/>
    <w:rsid w:val="007301F9"/>
    <w:rsid w:val="00730C45"/>
    <w:rsid w:val="007311E7"/>
    <w:rsid w:val="00731DEE"/>
    <w:rsid w:val="00734BC6"/>
    <w:rsid w:val="007366FB"/>
    <w:rsid w:val="0074084C"/>
    <w:rsid w:val="007541D3"/>
    <w:rsid w:val="00756A17"/>
    <w:rsid w:val="007577D7"/>
    <w:rsid w:val="00760004"/>
    <w:rsid w:val="0076726A"/>
    <w:rsid w:val="007715E8"/>
    <w:rsid w:val="0077362E"/>
    <w:rsid w:val="00773A35"/>
    <w:rsid w:val="00774113"/>
    <w:rsid w:val="00776004"/>
    <w:rsid w:val="00777956"/>
    <w:rsid w:val="007811C4"/>
    <w:rsid w:val="00783E04"/>
    <w:rsid w:val="0078486B"/>
    <w:rsid w:val="00785A39"/>
    <w:rsid w:val="00787D8A"/>
    <w:rsid w:val="00790277"/>
    <w:rsid w:val="00791EBC"/>
    <w:rsid w:val="0079290C"/>
    <w:rsid w:val="00793577"/>
    <w:rsid w:val="00795637"/>
    <w:rsid w:val="00795F04"/>
    <w:rsid w:val="007A446A"/>
    <w:rsid w:val="007A4FEF"/>
    <w:rsid w:val="007A53A6"/>
    <w:rsid w:val="007A6159"/>
    <w:rsid w:val="007B27E9"/>
    <w:rsid w:val="007B2C5B"/>
    <w:rsid w:val="007B2D11"/>
    <w:rsid w:val="007B4994"/>
    <w:rsid w:val="007B6700"/>
    <w:rsid w:val="007B6A93"/>
    <w:rsid w:val="007B6D8D"/>
    <w:rsid w:val="007B7377"/>
    <w:rsid w:val="007B7BEC"/>
    <w:rsid w:val="007C1961"/>
    <w:rsid w:val="007C25BB"/>
    <w:rsid w:val="007C56BA"/>
    <w:rsid w:val="007D1805"/>
    <w:rsid w:val="007D2107"/>
    <w:rsid w:val="007D3A42"/>
    <w:rsid w:val="007D5895"/>
    <w:rsid w:val="007D77AB"/>
    <w:rsid w:val="007E0F89"/>
    <w:rsid w:val="007E28D0"/>
    <w:rsid w:val="007E30DF"/>
    <w:rsid w:val="007E3161"/>
    <w:rsid w:val="007E4477"/>
    <w:rsid w:val="007F020E"/>
    <w:rsid w:val="007F289E"/>
    <w:rsid w:val="007F2C43"/>
    <w:rsid w:val="007F7544"/>
    <w:rsid w:val="00800995"/>
    <w:rsid w:val="00804736"/>
    <w:rsid w:val="0080602A"/>
    <w:rsid w:val="008069C5"/>
    <w:rsid w:val="0081117E"/>
    <w:rsid w:val="00811A72"/>
    <w:rsid w:val="00812878"/>
    <w:rsid w:val="008137FE"/>
    <w:rsid w:val="00816F79"/>
    <w:rsid w:val="008172F8"/>
    <w:rsid w:val="00820C2C"/>
    <w:rsid w:val="00821438"/>
    <w:rsid w:val="00827301"/>
    <w:rsid w:val="008310C9"/>
    <w:rsid w:val="008326B2"/>
    <w:rsid w:val="00834150"/>
    <w:rsid w:val="008357F2"/>
    <w:rsid w:val="00835EA0"/>
    <w:rsid w:val="0084098D"/>
    <w:rsid w:val="008416E0"/>
    <w:rsid w:val="00841E7A"/>
    <w:rsid w:val="00842B85"/>
    <w:rsid w:val="00843CED"/>
    <w:rsid w:val="00844B35"/>
    <w:rsid w:val="00844EA0"/>
    <w:rsid w:val="00846831"/>
    <w:rsid w:val="00846D0C"/>
    <w:rsid w:val="00847B32"/>
    <w:rsid w:val="00853721"/>
    <w:rsid w:val="00854856"/>
    <w:rsid w:val="00854BCE"/>
    <w:rsid w:val="00855122"/>
    <w:rsid w:val="00857346"/>
    <w:rsid w:val="008603E0"/>
    <w:rsid w:val="00865532"/>
    <w:rsid w:val="00867686"/>
    <w:rsid w:val="008737D3"/>
    <w:rsid w:val="00874179"/>
    <w:rsid w:val="008747E0"/>
    <w:rsid w:val="00876841"/>
    <w:rsid w:val="00882B3C"/>
    <w:rsid w:val="00886C21"/>
    <w:rsid w:val="0088783D"/>
    <w:rsid w:val="008919F5"/>
    <w:rsid w:val="00892138"/>
    <w:rsid w:val="008972C3"/>
    <w:rsid w:val="008A1DE8"/>
    <w:rsid w:val="008A28D9"/>
    <w:rsid w:val="008A30BA"/>
    <w:rsid w:val="008A52DC"/>
    <w:rsid w:val="008A5435"/>
    <w:rsid w:val="008B3CC8"/>
    <w:rsid w:val="008B62E0"/>
    <w:rsid w:val="008C2A0C"/>
    <w:rsid w:val="008C33B5"/>
    <w:rsid w:val="008C3A72"/>
    <w:rsid w:val="008C46F4"/>
    <w:rsid w:val="008C4A94"/>
    <w:rsid w:val="008C6969"/>
    <w:rsid w:val="008D45D2"/>
    <w:rsid w:val="008D5CCD"/>
    <w:rsid w:val="008E1665"/>
    <w:rsid w:val="008E1D70"/>
    <w:rsid w:val="008E1F69"/>
    <w:rsid w:val="008E76B1"/>
    <w:rsid w:val="008F10A6"/>
    <w:rsid w:val="008F17D1"/>
    <w:rsid w:val="008F34F4"/>
    <w:rsid w:val="008F38BB"/>
    <w:rsid w:val="008F57D8"/>
    <w:rsid w:val="008F60B1"/>
    <w:rsid w:val="00902290"/>
    <w:rsid w:val="00902834"/>
    <w:rsid w:val="009110DD"/>
    <w:rsid w:val="00913056"/>
    <w:rsid w:val="00914E26"/>
    <w:rsid w:val="0091590F"/>
    <w:rsid w:val="00920729"/>
    <w:rsid w:val="009217F2"/>
    <w:rsid w:val="00923B4D"/>
    <w:rsid w:val="00925164"/>
    <w:rsid w:val="0092540C"/>
    <w:rsid w:val="00925B39"/>
    <w:rsid w:val="00925E0F"/>
    <w:rsid w:val="00930441"/>
    <w:rsid w:val="00931A57"/>
    <w:rsid w:val="00933EE0"/>
    <w:rsid w:val="0093492E"/>
    <w:rsid w:val="009414E6"/>
    <w:rsid w:val="00941BA2"/>
    <w:rsid w:val="009434FF"/>
    <w:rsid w:val="00947A3F"/>
    <w:rsid w:val="00950B15"/>
    <w:rsid w:val="00951252"/>
    <w:rsid w:val="00952DB1"/>
    <w:rsid w:val="0095450F"/>
    <w:rsid w:val="00956901"/>
    <w:rsid w:val="0096203C"/>
    <w:rsid w:val="00962EC1"/>
    <w:rsid w:val="009630F5"/>
    <w:rsid w:val="009656B9"/>
    <w:rsid w:val="0096631C"/>
    <w:rsid w:val="00967DD9"/>
    <w:rsid w:val="00971591"/>
    <w:rsid w:val="009727CB"/>
    <w:rsid w:val="00974564"/>
    <w:rsid w:val="00974B53"/>
    <w:rsid w:val="00974E99"/>
    <w:rsid w:val="009764FA"/>
    <w:rsid w:val="00980192"/>
    <w:rsid w:val="00980799"/>
    <w:rsid w:val="009812B5"/>
    <w:rsid w:val="00982296"/>
    <w:rsid w:val="00982A22"/>
    <w:rsid w:val="009830CC"/>
    <w:rsid w:val="00983287"/>
    <w:rsid w:val="00990CEC"/>
    <w:rsid w:val="00994D97"/>
    <w:rsid w:val="0099752C"/>
    <w:rsid w:val="00997C15"/>
    <w:rsid w:val="009A07B7"/>
    <w:rsid w:val="009B0C65"/>
    <w:rsid w:val="009B1545"/>
    <w:rsid w:val="009B372E"/>
    <w:rsid w:val="009B5023"/>
    <w:rsid w:val="009B6582"/>
    <w:rsid w:val="009B6C2F"/>
    <w:rsid w:val="009B785E"/>
    <w:rsid w:val="009B7871"/>
    <w:rsid w:val="009C26F8"/>
    <w:rsid w:val="009C387B"/>
    <w:rsid w:val="009C50A9"/>
    <w:rsid w:val="009C609E"/>
    <w:rsid w:val="009C6984"/>
    <w:rsid w:val="009D25B8"/>
    <w:rsid w:val="009D26AB"/>
    <w:rsid w:val="009D6B98"/>
    <w:rsid w:val="009E075B"/>
    <w:rsid w:val="009E16EC"/>
    <w:rsid w:val="009E1F25"/>
    <w:rsid w:val="009E433C"/>
    <w:rsid w:val="009E4A37"/>
    <w:rsid w:val="009E4A4D"/>
    <w:rsid w:val="009E6578"/>
    <w:rsid w:val="009E6C74"/>
    <w:rsid w:val="009F081F"/>
    <w:rsid w:val="009F4A19"/>
    <w:rsid w:val="009F4E34"/>
    <w:rsid w:val="00A06A0E"/>
    <w:rsid w:val="00A06A3D"/>
    <w:rsid w:val="00A07CE4"/>
    <w:rsid w:val="00A10EBA"/>
    <w:rsid w:val="00A11128"/>
    <w:rsid w:val="00A13E56"/>
    <w:rsid w:val="00A15050"/>
    <w:rsid w:val="00A16D16"/>
    <w:rsid w:val="00A179F2"/>
    <w:rsid w:val="00A221CF"/>
    <w:rsid w:val="00A227BF"/>
    <w:rsid w:val="00A23CAC"/>
    <w:rsid w:val="00A24838"/>
    <w:rsid w:val="00A2743E"/>
    <w:rsid w:val="00A3074A"/>
    <w:rsid w:val="00A30C33"/>
    <w:rsid w:val="00A37755"/>
    <w:rsid w:val="00A4109B"/>
    <w:rsid w:val="00A4308C"/>
    <w:rsid w:val="00A43432"/>
    <w:rsid w:val="00A434D1"/>
    <w:rsid w:val="00A44836"/>
    <w:rsid w:val="00A5215A"/>
    <w:rsid w:val="00A524B5"/>
    <w:rsid w:val="00A53E1D"/>
    <w:rsid w:val="00A549B3"/>
    <w:rsid w:val="00A56184"/>
    <w:rsid w:val="00A65A1A"/>
    <w:rsid w:val="00A66081"/>
    <w:rsid w:val="00A67954"/>
    <w:rsid w:val="00A72893"/>
    <w:rsid w:val="00A72ED7"/>
    <w:rsid w:val="00A73AC6"/>
    <w:rsid w:val="00A800A9"/>
    <w:rsid w:val="00A8083F"/>
    <w:rsid w:val="00A83567"/>
    <w:rsid w:val="00A83FF2"/>
    <w:rsid w:val="00A86343"/>
    <w:rsid w:val="00A87080"/>
    <w:rsid w:val="00A90AAC"/>
    <w:rsid w:val="00A90D86"/>
    <w:rsid w:val="00A91DBA"/>
    <w:rsid w:val="00A97900"/>
    <w:rsid w:val="00AA1B91"/>
    <w:rsid w:val="00AA1D7A"/>
    <w:rsid w:val="00AA2921"/>
    <w:rsid w:val="00AA3E01"/>
    <w:rsid w:val="00AB0BFA"/>
    <w:rsid w:val="00AB2C66"/>
    <w:rsid w:val="00AB42BD"/>
    <w:rsid w:val="00AB7324"/>
    <w:rsid w:val="00AB76B7"/>
    <w:rsid w:val="00AC33A2"/>
    <w:rsid w:val="00AC5410"/>
    <w:rsid w:val="00AC583D"/>
    <w:rsid w:val="00AD00A9"/>
    <w:rsid w:val="00AD12E6"/>
    <w:rsid w:val="00AD38F7"/>
    <w:rsid w:val="00AE5551"/>
    <w:rsid w:val="00AE62B3"/>
    <w:rsid w:val="00AE65F1"/>
    <w:rsid w:val="00AE6BB4"/>
    <w:rsid w:val="00AE74AD"/>
    <w:rsid w:val="00AF159C"/>
    <w:rsid w:val="00AF4B77"/>
    <w:rsid w:val="00B007F2"/>
    <w:rsid w:val="00B01873"/>
    <w:rsid w:val="00B0572F"/>
    <w:rsid w:val="00B074AB"/>
    <w:rsid w:val="00B07717"/>
    <w:rsid w:val="00B07BF4"/>
    <w:rsid w:val="00B13AC5"/>
    <w:rsid w:val="00B157A4"/>
    <w:rsid w:val="00B16334"/>
    <w:rsid w:val="00B17253"/>
    <w:rsid w:val="00B17D61"/>
    <w:rsid w:val="00B250D6"/>
    <w:rsid w:val="00B2583D"/>
    <w:rsid w:val="00B26A2D"/>
    <w:rsid w:val="00B27E76"/>
    <w:rsid w:val="00B31A41"/>
    <w:rsid w:val="00B37EE3"/>
    <w:rsid w:val="00B40199"/>
    <w:rsid w:val="00B44C24"/>
    <w:rsid w:val="00B453D3"/>
    <w:rsid w:val="00B45400"/>
    <w:rsid w:val="00B502FF"/>
    <w:rsid w:val="00B50B90"/>
    <w:rsid w:val="00B50E28"/>
    <w:rsid w:val="00B5475A"/>
    <w:rsid w:val="00B55ACF"/>
    <w:rsid w:val="00B56A75"/>
    <w:rsid w:val="00B6066D"/>
    <w:rsid w:val="00B621CA"/>
    <w:rsid w:val="00B62429"/>
    <w:rsid w:val="00B643DF"/>
    <w:rsid w:val="00B65300"/>
    <w:rsid w:val="00B658B7"/>
    <w:rsid w:val="00B65F64"/>
    <w:rsid w:val="00B67422"/>
    <w:rsid w:val="00B70796"/>
    <w:rsid w:val="00B70BD4"/>
    <w:rsid w:val="00B712CA"/>
    <w:rsid w:val="00B73463"/>
    <w:rsid w:val="00B75110"/>
    <w:rsid w:val="00B75812"/>
    <w:rsid w:val="00B821EF"/>
    <w:rsid w:val="00B843CF"/>
    <w:rsid w:val="00B90123"/>
    <w:rsid w:val="00B9016D"/>
    <w:rsid w:val="00B92476"/>
    <w:rsid w:val="00BA0F98"/>
    <w:rsid w:val="00BA1517"/>
    <w:rsid w:val="00BA1C02"/>
    <w:rsid w:val="00BA4E39"/>
    <w:rsid w:val="00BA67FD"/>
    <w:rsid w:val="00BA7C48"/>
    <w:rsid w:val="00BB0999"/>
    <w:rsid w:val="00BB61CC"/>
    <w:rsid w:val="00BC251F"/>
    <w:rsid w:val="00BC27F6"/>
    <w:rsid w:val="00BC39F4"/>
    <w:rsid w:val="00BC42A9"/>
    <w:rsid w:val="00BC7FE0"/>
    <w:rsid w:val="00BD150C"/>
    <w:rsid w:val="00BD1587"/>
    <w:rsid w:val="00BD3E8C"/>
    <w:rsid w:val="00BD6A20"/>
    <w:rsid w:val="00BD7EE1"/>
    <w:rsid w:val="00BE17CD"/>
    <w:rsid w:val="00BE5568"/>
    <w:rsid w:val="00BE5764"/>
    <w:rsid w:val="00BF1358"/>
    <w:rsid w:val="00C0106D"/>
    <w:rsid w:val="00C130C5"/>
    <w:rsid w:val="00C131B4"/>
    <w:rsid w:val="00C133BE"/>
    <w:rsid w:val="00C1400A"/>
    <w:rsid w:val="00C222B4"/>
    <w:rsid w:val="00C238D7"/>
    <w:rsid w:val="00C249D4"/>
    <w:rsid w:val="00C262E4"/>
    <w:rsid w:val="00C33E20"/>
    <w:rsid w:val="00C35CF6"/>
    <w:rsid w:val="00C3725B"/>
    <w:rsid w:val="00C4010C"/>
    <w:rsid w:val="00C401B7"/>
    <w:rsid w:val="00C4582C"/>
    <w:rsid w:val="00C45910"/>
    <w:rsid w:val="00C473B5"/>
    <w:rsid w:val="00C522BE"/>
    <w:rsid w:val="00C52413"/>
    <w:rsid w:val="00C533EC"/>
    <w:rsid w:val="00C5470E"/>
    <w:rsid w:val="00C55EFB"/>
    <w:rsid w:val="00C56585"/>
    <w:rsid w:val="00C56B3F"/>
    <w:rsid w:val="00C62DF5"/>
    <w:rsid w:val="00C65492"/>
    <w:rsid w:val="00C65C4C"/>
    <w:rsid w:val="00C67C67"/>
    <w:rsid w:val="00C7022C"/>
    <w:rsid w:val="00C71032"/>
    <w:rsid w:val="00C716E5"/>
    <w:rsid w:val="00C773D9"/>
    <w:rsid w:val="00C80307"/>
    <w:rsid w:val="00C80ACE"/>
    <w:rsid w:val="00C80B0C"/>
    <w:rsid w:val="00C81162"/>
    <w:rsid w:val="00C82EC7"/>
    <w:rsid w:val="00C83258"/>
    <w:rsid w:val="00C83666"/>
    <w:rsid w:val="00C843AC"/>
    <w:rsid w:val="00C86736"/>
    <w:rsid w:val="00C870B5"/>
    <w:rsid w:val="00C907DF"/>
    <w:rsid w:val="00C91630"/>
    <w:rsid w:val="00C93DED"/>
    <w:rsid w:val="00C9558A"/>
    <w:rsid w:val="00C966EB"/>
    <w:rsid w:val="00CA004F"/>
    <w:rsid w:val="00CA04B1"/>
    <w:rsid w:val="00CA2DFC"/>
    <w:rsid w:val="00CA4EC9"/>
    <w:rsid w:val="00CA75D0"/>
    <w:rsid w:val="00CA7D62"/>
    <w:rsid w:val="00CB03D4"/>
    <w:rsid w:val="00CB0617"/>
    <w:rsid w:val="00CB137B"/>
    <w:rsid w:val="00CB1D11"/>
    <w:rsid w:val="00CB22B8"/>
    <w:rsid w:val="00CB2997"/>
    <w:rsid w:val="00CB3C9C"/>
    <w:rsid w:val="00CB5208"/>
    <w:rsid w:val="00CB59F3"/>
    <w:rsid w:val="00CB7D0F"/>
    <w:rsid w:val="00CC35EF"/>
    <w:rsid w:val="00CC5048"/>
    <w:rsid w:val="00CC6246"/>
    <w:rsid w:val="00CD0232"/>
    <w:rsid w:val="00CE2E63"/>
    <w:rsid w:val="00CE538B"/>
    <w:rsid w:val="00CE5E46"/>
    <w:rsid w:val="00CF10E3"/>
    <w:rsid w:val="00CF49CC"/>
    <w:rsid w:val="00D004FD"/>
    <w:rsid w:val="00D03A27"/>
    <w:rsid w:val="00D04F0B"/>
    <w:rsid w:val="00D065A4"/>
    <w:rsid w:val="00D07710"/>
    <w:rsid w:val="00D11FCE"/>
    <w:rsid w:val="00D120AF"/>
    <w:rsid w:val="00D1463A"/>
    <w:rsid w:val="00D15F11"/>
    <w:rsid w:val="00D252C9"/>
    <w:rsid w:val="00D270FA"/>
    <w:rsid w:val="00D32DDF"/>
    <w:rsid w:val="00D36206"/>
    <w:rsid w:val="00D36E93"/>
    <w:rsid w:val="00D3700C"/>
    <w:rsid w:val="00D41940"/>
    <w:rsid w:val="00D459F2"/>
    <w:rsid w:val="00D55D5A"/>
    <w:rsid w:val="00D603BF"/>
    <w:rsid w:val="00D638E0"/>
    <w:rsid w:val="00D6485D"/>
    <w:rsid w:val="00D653B1"/>
    <w:rsid w:val="00D656A2"/>
    <w:rsid w:val="00D740A5"/>
    <w:rsid w:val="00D74AE1"/>
    <w:rsid w:val="00D75D42"/>
    <w:rsid w:val="00D80A15"/>
    <w:rsid w:val="00D80B20"/>
    <w:rsid w:val="00D81D7D"/>
    <w:rsid w:val="00D865A8"/>
    <w:rsid w:val="00D87A04"/>
    <w:rsid w:val="00D9012A"/>
    <w:rsid w:val="00D90F09"/>
    <w:rsid w:val="00D92C2D"/>
    <w:rsid w:val="00D9361E"/>
    <w:rsid w:val="00D94F38"/>
    <w:rsid w:val="00D96F91"/>
    <w:rsid w:val="00DA005A"/>
    <w:rsid w:val="00DA17CD"/>
    <w:rsid w:val="00DA4CE3"/>
    <w:rsid w:val="00DA5D8F"/>
    <w:rsid w:val="00DB25B3"/>
    <w:rsid w:val="00DB3033"/>
    <w:rsid w:val="00DC1C10"/>
    <w:rsid w:val="00DC6F92"/>
    <w:rsid w:val="00DD4EF4"/>
    <w:rsid w:val="00DD60F2"/>
    <w:rsid w:val="00DD69FB"/>
    <w:rsid w:val="00DE03BD"/>
    <w:rsid w:val="00DE0893"/>
    <w:rsid w:val="00DE2814"/>
    <w:rsid w:val="00DE6796"/>
    <w:rsid w:val="00DF41B2"/>
    <w:rsid w:val="00DF47E2"/>
    <w:rsid w:val="00DF76E9"/>
    <w:rsid w:val="00E01272"/>
    <w:rsid w:val="00E03067"/>
    <w:rsid w:val="00E03814"/>
    <w:rsid w:val="00E03846"/>
    <w:rsid w:val="00E03A07"/>
    <w:rsid w:val="00E06421"/>
    <w:rsid w:val="00E10436"/>
    <w:rsid w:val="00E10BDB"/>
    <w:rsid w:val="00E13CC9"/>
    <w:rsid w:val="00E16EB4"/>
    <w:rsid w:val="00E20A7D"/>
    <w:rsid w:val="00E21A27"/>
    <w:rsid w:val="00E22643"/>
    <w:rsid w:val="00E2653D"/>
    <w:rsid w:val="00E27A2F"/>
    <w:rsid w:val="00E30A98"/>
    <w:rsid w:val="00E314B5"/>
    <w:rsid w:val="00E35013"/>
    <w:rsid w:val="00E367C6"/>
    <w:rsid w:val="00E42A94"/>
    <w:rsid w:val="00E458BF"/>
    <w:rsid w:val="00E47285"/>
    <w:rsid w:val="00E5035D"/>
    <w:rsid w:val="00E51C33"/>
    <w:rsid w:val="00E54676"/>
    <w:rsid w:val="00E54AD5"/>
    <w:rsid w:val="00E54BFB"/>
    <w:rsid w:val="00E54CD7"/>
    <w:rsid w:val="00E706E7"/>
    <w:rsid w:val="00E72A10"/>
    <w:rsid w:val="00E76B2C"/>
    <w:rsid w:val="00E77587"/>
    <w:rsid w:val="00E77A3F"/>
    <w:rsid w:val="00E818AD"/>
    <w:rsid w:val="00E84229"/>
    <w:rsid w:val="00E843F0"/>
    <w:rsid w:val="00E84965"/>
    <w:rsid w:val="00E86147"/>
    <w:rsid w:val="00E877DC"/>
    <w:rsid w:val="00E90E4E"/>
    <w:rsid w:val="00E9391E"/>
    <w:rsid w:val="00EA03A2"/>
    <w:rsid w:val="00EA1052"/>
    <w:rsid w:val="00EA218F"/>
    <w:rsid w:val="00EA4F29"/>
    <w:rsid w:val="00EA5B27"/>
    <w:rsid w:val="00EA5F83"/>
    <w:rsid w:val="00EA6DEE"/>
    <w:rsid w:val="00EA6F9D"/>
    <w:rsid w:val="00EB0E01"/>
    <w:rsid w:val="00EB2273"/>
    <w:rsid w:val="00EB571F"/>
    <w:rsid w:val="00EB6C62"/>
    <w:rsid w:val="00EB6F3C"/>
    <w:rsid w:val="00EC0CF9"/>
    <w:rsid w:val="00EC1E2C"/>
    <w:rsid w:val="00EC254E"/>
    <w:rsid w:val="00EC2B9A"/>
    <w:rsid w:val="00EC3723"/>
    <w:rsid w:val="00EC568A"/>
    <w:rsid w:val="00EC7C87"/>
    <w:rsid w:val="00ED030E"/>
    <w:rsid w:val="00ED2672"/>
    <w:rsid w:val="00ED2A8D"/>
    <w:rsid w:val="00ED3784"/>
    <w:rsid w:val="00ED4450"/>
    <w:rsid w:val="00ED7692"/>
    <w:rsid w:val="00EE2455"/>
    <w:rsid w:val="00EE2F17"/>
    <w:rsid w:val="00EE3EF1"/>
    <w:rsid w:val="00EE54CB"/>
    <w:rsid w:val="00EE6424"/>
    <w:rsid w:val="00EF1936"/>
    <w:rsid w:val="00EF1C54"/>
    <w:rsid w:val="00EF404B"/>
    <w:rsid w:val="00EF7B26"/>
    <w:rsid w:val="00F00376"/>
    <w:rsid w:val="00F01F0C"/>
    <w:rsid w:val="00F02A5A"/>
    <w:rsid w:val="00F06ECB"/>
    <w:rsid w:val="00F1078D"/>
    <w:rsid w:val="00F11368"/>
    <w:rsid w:val="00F11764"/>
    <w:rsid w:val="00F11837"/>
    <w:rsid w:val="00F118B2"/>
    <w:rsid w:val="00F157E2"/>
    <w:rsid w:val="00F16C7D"/>
    <w:rsid w:val="00F21960"/>
    <w:rsid w:val="00F23723"/>
    <w:rsid w:val="00F259E2"/>
    <w:rsid w:val="00F30739"/>
    <w:rsid w:val="00F346A3"/>
    <w:rsid w:val="00F35D2F"/>
    <w:rsid w:val="00F37F53"/>
    <w:rsid w:val="00F404B9"/>
    <w:rsid w:val="00F40AB2"/>
    <w:rsid w:val="00F40DC3"/>
    <w:rsid w:val="00F41F0B"/>
    <w:rsid w:val="00F460DD"/>
    <w:rsid w:val="00F50222"/>
    <w:rsid w:val="00F52277"/>
    <w:rsid w:val="00F527AC"/>
    <w:rsid w:val="00F5503F"/>
    <w:rsid w:val="00F55AD7"/>
    <w:rsid w:val="00F61D83"/>
    <w:rsid w:val="00F628DA"/>
    <w:rsid w:val="00F636EF"/>
    <w:rsid w:val="00F64BE0"/>
    <w:rsid w:val="00F65DD1"/>
    <w:rsid w:val="00F707B3"/>
    <w:rsid w:val="00F71135"/>
    <w:rsid w:val="00F71FF7"/>
    <w:rsid w:val="00F730DC"/>
    <w:rsid w:val="00F741EE"/>
    <w:rsid w:val="00F74309"/>
    <w:rsid w:val="00F76ACC"/>
    <w:rsid w:val="00F8227C"/>
    <w:rsid w:val="00F828E7"/>
    <w:rsid w:val="00F82C35"/>
    <w:rsid w:val="00F83068"/>
    <w:rsid w:val="00F83E17"/>
    <w:rsid w:val="00F85647"/>
    <w:rsid w:val="00F90461"/>
    <w:rsid w:val="00F91B03"/>
    <w:rsid w:val="00F960E2"/>
    <w:rsid w:val="00FA06B2"/>
    <w:rsid w:val="00FA370D"/>
    <w:rsid w:val="00FA5F89"/>
    <w:rsid w:val="00FA66F1"/>
    <w:rsid w:val="00FB5308"/>
    <w:rsid w:val="00FB5647"/>
    <w:rsid w:val="00FC378B"/>
    <w:rsid w:val="00FC3977"/>
    <w:rsid w:val="00FD2566"/>
    <w:rsid w:val="00FD25C7"/>
    <w:rsid w:val="00FD2C4D"/>
    <w:rsid w:val="00FD2F16"/>
    <w:rsid w:val="00FD2F54"/>
    <w:rsid w:val="00FD6065"/>
    <w:rsid w:val="00FD6F20"/>
    <w:rsid w:val="00FE1D34"/>
    <w:rsid w:val="00FE244F"/>
    <w:rsid w:val="00FE2A6F"/>
    <w:rsid w:val="00FE583D"/>
    <w:rsid w:val="00FE766B"/>
    <w:rsid w:val="00FF2C98"/>
    <w:rsid w:val="00FF418D"/>
    <w:rsid w:val="00FF4DAF"/>
    <w:rsid w:val="00FF6538"/>
    <w:rsid w:val="00FF6D02"/>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14AFCC"/>
  <w15:docId w15:val="{7DA876B7-03C0-4E89-A25D-9EA91674A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53815"/>
    <w:pPr>
      <w:spacing w:after="0" w:line="216" w:lineRule="atLeast"/>
    </w:pPr>
    <w:rPr>
      <w:sz w:val="18"/>
      <w:lang w:val="en-GB"/>
    </w:rPr>
  </w:style>
  <w:style w:type="paragraph" w:styleId="Heading1">
    <w:name w:val="heading 1"/>
    <w:next w:val="Heading1separationline"/>
    <w:link w:val="Heading1Char"/>
    <w:qFormat/>
    <w:rsid w:val="00586C66"/>
    <w:pPr>
      <w:keepNext/>
      <w:keepLines/>
      <w:numPr>
        <w:numId w:val="38"/>
      </w:numPr>
      <w:tabs>
        <w:tab w:val="clear" w:pos="3686"/>
        <w:tab w:val="num" w:pos="0"/>
      </w:tabs>
      <w:spacing w:before="240" w:line="240" w:lineRule="atLeast"/>
      <w:ind w:left="709"/>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Heading2separationline"/>
    <w:link w:val="Heading2Char"/>
    <w:qFormat/>
    <w:rsid w:val="00586C66"/>
    <w:pPr>
      <w:numPr>
        <w:ilvl w:val="1"/>
      </w:numPr>
      <w:ind w:right="709"/>
      <w:outlineLvl w:val="1"/>
    </w:pPr>
    <w:rPr>
      <w:bCs w:val="0"/>
      <w:sz w:val="24"/>
    </w:rPr>
  </w:style>
  <w:style w:type="paragraph" w:styleId="Heading3">
    <w:name w:val="heading 3"/>
    <w:basedOn w:val="Heading2"/>
    <w:next w:val="BodyText"/>
    <w:link w:val="Heading3Char"/>
    <w:qFormat/>
    <w:rsid w:val="000418CA"/>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0418CA"/>
    <w:pPr>
      <w:numPr>
        <w:ilvl w:val="3"/>
      </w:numPr>
      <w:ind w:right="992"/>
      <w:outlineLvl w:val="3"/>
    </w:pPr>
    <w:rPr>
      <w:bCs w:val="0"/>
      <w:iCs/>
      <w:smallCaps w:val="0"/>
      <w:sz w:val="22"/>
    </w:rPr>
  </w:style>
  <w:style w:type="paragraph" w:styleId="Heading5">
    <w:name w:val="heading 5"/>
    <w:basedOn w:val="Heading4"/>
    <w:next w:val="Normal"/>
    <w:link w:val="Heading5Char"/>
    <w:qFormat/>
    <w:rsid w:val="000418CA"/>
    <w:pPr>
      <w:numPr>
        <w:ilvl w:val="4"/>
      </w:numPr>
      <w:spacing w:before="200"/>
      <w:ind w:left="1701" w:hanging="1701"/>
      <w:outlineLvl w:val="4"/>
    </w:pPr>
    <w:rPr>
      <w:b w:val="0"/>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586C66"/>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586C66"/>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sid w:val="000418CA"/>
    <w:rPr>
      <w:rFonts w:asciiTheme="majorHAnsi" w:eastAsiaTheme="majorEastAsia" w:hAnsiTheme="majorHAnsi" w:cstheme="majorBidi"/>
      <w:b/>
      <w:bCs/>
      <w:smallCaps/>
      <w:color w:val="00558C"/>
      <w:sz w:val="24"/>
      <w:szCs w:val="24"/>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0418CA"/>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rsid w:val="000418CA"/>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8310C9"/>
    <w:pPr>
      <w:numPr>
        <w:numId w:val="28"/>
      </w:numPr>
      <w:spacing w:after="120"/>
      <w:ind w:left="992" w:hanging="425"/>
    </w:pPr>
    <w:rPr>
      <w:color w:val="000000" w:themeColor="text1"/>
      <w:sz w:val="22"/>
    </w:rPr>
  </w:style>
  <w:style w:type="paragraph" w:customStyle="1" w:styleId="Bullet2">
    <w:name w:val="Bullet 2"/>
    <w:basedOn w:val="Normal"/>
    <w:link w:val="Bullet2Char"/>
    <w:qFormat/>
    <w:rsid w:val="000B1A90"/>
    <w:pPr>
      <w:numPr>
        <w:numId w:val="29"/>
      </w:numPr>
      <w:spacing w:after="120"/>
      <w:ind w:left="1417" w:hanging="425"/>
    </w:pPr>
    <w:rPr>
      <w:color w:val="000000" w:themeColor="text1"/>
      <w:sz w:val="22"/>
    </w:rPr>
  </w:style>
  <w:style w:type="paragraph" w:customStyle="1" w:styleId="Heading1separationline">
    <w:name w:val="Heading 1 separ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TOC2">
    <w:name w:val="toc 2"/>
    <w:basedOn w:val="Normal"/>
    <w:next w:val="Normal"/>
    <w:autoRedefine/>
    <w:uiPriority w:val="39"/>
    <w:rsid w:val="00A7289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Normal"/>
    <w:qFormat/>
    <w:rsid w:val="008310C9"/>
    <w:pPr>
      <w:spacing w:after="120"/>
      <w:ind w:left="1134"/>
    </w:pPr>
    <w:rPr>
      <w:sz w:val="22"/>
    </w:rPr>
  </w:style>
  <w:style w:type="character" w:customStyle="1" w:styleId="Bullet2Char">
    <w:name w:val="Bullet 2 Char"/>
    <w:basedOn w:val="DefaultParagraphFont"/>
    <w:link w:val="Bullet2"/>
    <w:rsid w:val="000B1A90"/>
    <w:rPr>
      <w:color w:val="000000" w:themeColor="text1"/>
      <w:lang w:val="en-GB"/>
    </w:rPr>
  </w:style>
  <w:style w:type="paragraph" w:customStyle="1" w:styleId="AppendixHead2">
    <w:name w:val="Appendix Head 2"/>
    <w:basedOn w:val="Appendix"/>
    <w:next w:val="Heading2separationline"/>
    <w:qFormat/>
    <w:rsid w:val="00586C66"/>
    <w:pPr>
      <w:numPr>
        <w:ilvl w:val="2"/>
      </w:numPr>
      <w:spacing w:after="120"/>
    </w:pPr>
    <w:rPr>
      <w:rFonts w:cs="Arial"/>
      <w:sz w:val="24"/>
      <w:lang w:eastAsia="en-GB"/>
    </w:rPr>
  </w:style>
  <w:style w:type="paragraph" w:customStyle="1" w:styleId="AppendixHead3">
    <w:name w:val="Appendix Head 3"/>
    <w:basedOn w:val="Normal"/>
    <w:next w:val="BodyText"/>
    <w:qFormat/>
    <w:rsid w:val="00E5035D"/>
    <w:pPr>
      <w:numPr>
        <w:ilvl w:val="3"/>
        <w:numId w:val="13"/>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E5035D"/>
    <w:pPr>
      <w:numPr>
        <w:ilvl w:val="4"/>
      </w:numPr>
    </w:pPr>
    <w:rPr>
      <w:smallCaps w:val="0"/>
      <w:sz w:val="22"/>
    </w:rPr>
  </w:style>
  <w:style w:type="paragraph" w:customStyle="1" w:styleId="AppendixHead5">
    <w:name w:val="Appendix Head 5"/>
    <w:basedOn w:val="AppendixHead4"/>
    <w:next w:val="BodyText"/>
    <w:qFormat/>
    <w:rsid w:val="00A90AAC"/>
    <w:pPr>
      <w:ind w:left="1701" w:hanging="1701"/>
    </w:pPr>
    <w:rPr>
      <w:b w:val="0"/>
    </w:rPr>
  </w:style>
  <w:style w:type="paragraph" w:customStyle="1" w:styleId="Annex">
    <w:name w:val="Annex"/>
    <w:next w:val="BodyText"/>
    <w:link w:val="AnnexChar"/>
    <w:qFormat/>
    <w:rsid w:val="00E5035D"/>
    <w:pPr>
      <w:numPr>
        <w:numId w:val="3"/>
      </w:numPr>
      <w:spacing w:after="360"/>
    </w:pPr>
    <w:rPr>
      <w:b/>
      <w:caps/>
      <w:color w:val="00558C"/>
      <w:sz w:val="28"/>
      <w:lang w:val="en-GB"/>
    </w:rPr>
  </w:style>
  <w:style w:type="character" w:customStyle="1" w:styleId="AnnexChar">
    <w:name w:val="Annex Char"/>
    <w:basedOn w:val="DefaultParagraphFont"/>
    <w:link w:val="Annex"/>
    <w:rsid w:val="00E5035D"/>
    <w:rPr>
      <w:b/>
      <w:caps/>
      <w:color w:val="00558C"/>
      <w:sz w:val="28"/>
      <w:lang w:val="en-GB"/>
    </w:rPr>
  </w:style>
  <w:style w:type="paragraph" w:customStyle="1" w:styleId="AnnexHead2">
    <w:name w:val="Annex Head 2"/>
    <w:basedOn w:val="Annex"/>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BodyText">
    <w:name w:val="Body Text"/>
    <w:basedOn w:val="Normal"/>
    <w:link w:val="BodyTextChar"/>
    <w:unhideWhenUsed/>
    <w:qFormat/>
    <w:rsid w:val="00820C2C"/>
    <w:pPr>
      <w:spacing w:after="120"/>
      <w:jc w:val="both"/>
    </w:pPr>
    <w:rPr>
      <w:sz w:val="22"/>
    </w:rPr>
  </w:style>
  <w:style w:type="character" w:customStyle="1" w:styleId="BodyTextChar">
    <w:name w:val="Body Text Char"/>
    <w:basedOn w:val="DefaultParagraphFont"/>
    <w:link w:val="BodyText"/>
    <w:rsid w:val="00820C2C"/>
    <w:rPr>
      <w:lang w:val="en-GB"/>
    </w:rPr>
  </w:style>
  <w:style w:type="paragraph" w:customStyle="1" w:styleId="AnnexHead4">
    <w:name w:val="Annex Head 4"/>
    <w:basedOn w:val="AnnexHead3"/>
    <w:next w:val="BodyText"/>
    <w:qFormat/>
    <w:rsid w:val="000418CA"/>
    <w:pPr>
      <w:numPr>
        <w:ilvl w:val="3"/>
      </w:numPr>
    </w:pPr>
    <w:rPr>
      <w:smallCaps w:val="0"/>
      <w:sz w:val="22"/>
    </w:rPr>
  </w:style>
  <w:style w:type="paragraph" w:customStyle="1" w:styleId="AnnexHead5">
    <w:name w:val="Annex Head 5"/>
    <w:basedOn w:val="Normal"/>
    <w:next w:val="BodyText"/>
    <w:qFormat/>
    <w:rsid w:val="000418CA"/>
    <w:pPr>
      <w:numPr>
        <w:ilvl w:val="4"/>
        <w:numId w:val="3"/>
      </w:numPr>
      <w:spacing w:before="120" w:after="120" w:line="240" w:lineRule="auto"/>
      <w:ind w:left="1701" w:hanging="1701"/>
    </w:pPr>
    <w:rPr>
      <w:rFonts w:eastAsia="Calibri" w:cs="Calibri"/>
      <w:color w:val="00558C"/>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qFormat/>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Tablecaption">
    <w:name w:val="Table caption"/>
    <w:basedOn w:val="Caption"/>
    <w:next w:val="BodyText"/>
    <w:qFormat/>
    <w:rsid w:val="007A4FEF"/>
    <w:pPr>
      <w:numPr>
        <w:numId w:val="5"/>
      </w:numPr>
      <w:tabs>
        <w:tab w:val="left" w:pos="851"/>
      </w:tabs>
      <w:spacing w:before="240" w:after="240"/>
      <w:jc w:val="center"/>
    </w:pPr>
    <w:rPr>
      <w:b w:val="0"/>
      <w:u w:val="none"/>
    </w:rPr>
  </w:style>
  <w:style w:type="paragraph" w:styleId="ListNumber">
    <w:name w:val="List Number"/>
    <w:basedOn w:val="Normal"/>
    <w:semiHidden/>
    <w:rsid w:val="006E10BF"/>
    <w:pPr>
      <w:numPr>
        <w:numId w:val="10"/>
      </w:numPr>
      <w:contextualSpacing/>
    </w:pPr>
  </w:style>
  <w:style w:type="paragraph" w:styleId="TOC4">
    <w:name w:val="toc 4"/>
    <w:basedOn w:val="Normal"/>
    <w:next w:val="Normal"/>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DD69FB"/>
    <w:rPr>
      <w:rFonts w:asciiTheme="minorHAnsi" w:hAnsiTheme="minorHAnsi"/>
      <w:sz w:val="20"/>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8310C9"/>
    <w:pPr>
      <w:numPr>
        <w:ilvl w:val="1"/>
        <w:numId w:val="33"/>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33"/>
      </w:numPr>
      <w:ind w:left="1701" w:hanging="425"/>
    </w:pPr>
  </w:style>
  <w:style w:type="paragraph" w:customStyle="1" w:styleId="Listitext">
    <w:name w:val="List i text"/>
    <w:basedOn w:val="Normal"/>
    <w:qFormat/>
    <w:rsid w:val="00FF418D"/>
    <w:pPr>
      <w:ind w:left="2268" w:hanging="567"/>
    </w:pPr>
    <w:rPr>
      <w:sz w:val="20"/>
    </w:rPr>
  </w:style>
  <w:style w:type="paragraph" w:customStyle="1" w:styleId="Bullet1text">
    <w:name w:val="Bullet 1 text"/>
    <w:basedOn w:val="Normal"/>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8310C9"/>
    <w:pPr>
      <w:numPr>
        <w:numId w:val="30"/>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8310C9"/>
    <w:pPr>
      <w:numPr>
        <w:numId w:val="31"/>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8310C9"/>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4"/>
      </w:numPr>
      <w:spacing w:before="120"/>
      <w:contextualSpacing/>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BodyText"/>
    <w:qFormat/>
    <w:rsid w:val="002176C4"/>
    <w:pPr>
      <w:numPr>
        <w:numId w:val="41"/>
      </w:numPr>
      <w:jc w:val="center"/>
    </w:pPr>
    <w:rPr>
      <w:i/>
      <w:color w:val="00558C"/>
      <w:lang w:eastAsia="en-GB"/>
    </w:rPr>
  </w:style>
  <w:style w:type="paragraph" w:customStyle="1" w:styleId="Figurecaption">
    <w:name w:val="Figure caption"/>
    <w:basedOn w:val="Caption"/>
    <w:next w:val="BodyText"/>
    <w:qFormat/>
    <w:rsid w:val="00DD69FB"/>
    <w:pPr>
      <w:numPr>
        <w:numId w:val="9"/>
      </w:numPr>
      <w:spacing w:before="240" w:after="240"/>
      <w:jc w:val="center"/>
    </w:pPr>
    <w:rPr>
      <w:b w:val="0"/>
      <w:u w:val="none"/>
    </w:rPr>
  </w:style>
  <w:style w:type="paragraph" w:styleId="NoSpacing">
    <w:name w:val="No Spacing"/>
    <w:uiPriority w:val="1"/>
    <w:rsid w:val="00C55EFB"/>
    <w:pPr>
      <w:spacing w:after="0" w:line="240" w:lineRule="auto"/>
    </w:pPr>
    <w:rPr>
      <w:sz w:val="18"/>
      <w:lang w:val="en-GB"/>
    </w:rPr>
  </w:style>
  <w:style w:type="paragraph" w:customStyle="1" w:styleId="Abbreviations">
    <w:name w:val="Abbreviations"/>
    <w:basedOn w:val="Normal"/>
    <w:qFormat/>
    <w:rsid w:val="000B577B"/>
    <w:pPr>
      <w:spacing w:after="60"/>
      <w:ind w:left="1418" w:hanging="1418"/>
    </w:pPr>
    <w:rPr>
      <w:sz w:val="22"/>
    </w:rPr>
  </w:style>
  <w:style w:type="paragraph" w:customStyle="1" w:styleId="Tableheading">
    <w:name w:val="Table heading"/>
    <w:basedOn w:val="Normal"/>
    <w:qFormat/>
    <w:rsid w:val="00983287"/>
    <w:pPr>
      <w:spacing w:before="60" w:after="60"/>
      <w:ind w:left="113" w:right="113"/>
      <w:jc w:val="center"/>
    </w:pPr>
    <w:rPr>
      <w:b/>
      <w:color w:val="00558C"/>
      <w:sz w:val="20"/>
      <w:lang w:val="en-US"/>
    </w:rPr>
  </w:style>
  <w:style w:type="paragraph" w:customStyle="1" w:styleId="Appendix">
    <w:name w:val="Appendix"/>
    <w:next w:val="BodyText"/>
    <w:qFormat/>
    <w:rsid w:val="00E5035D"/>
    <w:pPr>
      <w:numPr>
        <w:numId w:val="13"/>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Referencetext">
    <w:name w:val="Reference text"/>
    <w:basedOn w:val="Normal"/>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E86147"/>
    <w:rPr>
      <w:b/>
      <w:color w:val="00558C"/>
      <w:sz w:val="28"/>
    </w:rPr>
  </w:style>
  <w:style w:type="character" w:customStyle="1" w:styleId="MRNChar">
    <w:name w:val="MRN Char"/>
    <w:basedOn w:val="DefaultParagraphFont"/>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DefaultParagraphFont"/>
    <w:link w:val="Revokes"/>
    <w:rsid w:val="003F70D2"/>
    <w:rPr>
      <w:b/>
      <w:i/>
      <w:color w:val="00558C"/>
      <w:sz w:val="28"/>
      <w:lang w:val="en-GB"/>
    </w:rPr>
  </w:style>
  <w:style w:type="paragraph" w:customStyle="1" w:styleId="Reference">
    <w:name w:val="Reference"/>
    <w:basedOn w:val="Normal"/>
    <w:qFormat/>
    <w:rsid w:val="00CF10E3"/>
    <w:pPr>
      <w:numPr>
        <w:numId w:val="15"/>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835EA0"/>
    <w:pPr>
      <w:numPr>
        <w:numId w:val="16"/>
      </w:numPr>
      <w:spacing w:before="60"/>
      <w:jc w:val="right"/>
    </w:pPr>
  </w:style>
  <w:style w:type="character" w:customStyle="1" w:styleId="EquationChar">
    <w:name w:val="Equation Char"/>
    <w:basedOn w:val="BodyTextChar"/>
    <w:link w:val="Equation"/>
    <w:rsid w:val="00835EA0"/>
    <w:rPr>
      <w:lang w:val="en-GB"/>
    </w:rPr>
  </w:style>
  <w:style w:type="paragraph" w:customStyle="1" w:styleId="Furtherreading">
    <w:name w:val="Further reading"/>
    <w:basedOn w:val="BodyText"/>
    <w:link w:val="FurtherreadingChar"/>
    <w:qFormat/>
    <w:rsid w:val="0022582A"/>
    <w:pPr>
      <w:numPr>
        <w:numId w:val="17"/>
      </w:numPr>
      <w:spacing w:before="60"/>
    </w:pPr>
  </w:style>
  <w:style w:type="character" w:customStyle="1" w:styleId="FurtherreadingChar">
    <w:name w:val="Further reading Char"/>
    <w:basedOn w:val="BodyTextChar"/>
    <w:link w:val="Furtherreading"/>
    <w:rsid w:val="0022582A"/>
    <w:rPr>
      <w:lang w:val="en-GB"/>
    </w:rPr>
  </w:style>
  <w:style w:type="paragraph" w:customStyle="1" w:styleId="Documentrevisiontabletitle">
    <w:name w:val="Document revision table title"/>
    <w:basedOn w:val="Normal"/>
    <w:rsid w:val="005D3920"/>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176C4"/>
    <w:pPr>
      <w:numPr>
        <w:numId w:val="39"/>
      </w:numPr>
      <w:jc w:val="center"/>
    </w:pPr>
    <w:rPr>
      <w:i/>
      <w:color w:val="00558C"/>
      <w:lang w:eastAsia="en-GB"/>
    </w:rPr>
  </w:style>
  <w:style w:type="character" w:customStyle="1" w:styleId="AnnexFigureCaptionChar">
    <w:name w:val="Annex Figure Caption Char"/>
    <w:basedOn w:val="BodyTextChar"/>
    <w:link w:val="AnnexFigureCaption"/>
    <w:rsid w:val="002176C4"/>
    <w:rPr>
      <w:i/>
      <w:color w:val="00558C"/>
      <w:lang w:val="en-GB" w:eastAsia="en-GB"/>
    </w:rPr>
  </w:style>
  <w:style w:type="paragraph" w:styleId="Index1">
    <w:name w:val="index 1"/>
    <w:basedOn w:val="Normal"/>
    <w:next w:val="Normal"/>
    <w:autoRedefine/>
    <w:semiHidden/>
    <w:unhideWhenUsed/>
    <w:rsid w:val="00326BB4"/>
    <w:pPr>
      <w:spacing w:line="240" w:lineRule="auto"/>
      <w:ind w:left="180" w:hanging="180"/>
    </w:pPr>
  </w:style>
  <w:style w:type="paragraph" w:customStyle="1" w:styleId="AppendixHead1">
    <w:name w:val="Appendix Head 1"/>
    <w:basedOn w:val="Normal"/>
    <w:next w:val="Heading1separationline"/>
    <w:qFormat/>
    <w:rsid w:val="008603E0"/>
    <w:pPr>
      <w:numPr>
        <w:ilvl w:val="1"/>
        <w:numId w:val="13"/>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02CB2"/>
    <w:pPr>
      <w:ind w:left="425" w:right="709"/>
    </w:pPr>
    <w:rPr>
      <w:i/>
    </w:rPr>
  </w:style>
  <w:style w:type="character" w:customStyle="1" w:styleId="EmphasisParagraphChar">
    <w:name w:val="Emphasis Paragraph Char"/>
    <w:basedOn w:val="BodyTextChar"/>
    <w:link w:val="EmphasisParagraph"/>
    <w:rsid w:val="00202CB2"/>
    <w:rPr>
      <w:i/>
      <w:lang w:val="en-GB"/>
    </w:rPr>
  </w:style>
  <w:style w:type="paragraph" w:customStyle="1" w:styleId="Quotationparagraph">
    <w:name w:val="Quotation paragraph"/>
    <w:basedOn w:val="BodyText"/>
    <w:link w:val="QuotationparagraphChar"/>
    <w:qFormat/>
    <w:rsid w:val="00A800A9"/>
    <w:pPr>
      <w:suppressAutoHyphens/>
      <w:ind w:left="567" w:right="707"/>
    </w:pPr>
  </w:style>
  <w:style w:type="character" w:customStyle="1" w:styleId="QuotationparagraphChar">
    <w:name w:val="Quotation paragraph Char"/>
    <w:basedOn w:val="BodyTextChar"/>
    <w:link w:val="Quotationparagraph"/>
    <w:rsid w:val="00A800A9"/>
    <w:rPr>
      <w:lang w:val="en-GB"/>
    </w:rPr>
  </w:style>
  <w:style w:type="paragraph" w:customStyle="1" w:styleId="a">
    <w:name w:val="바탕글"/>
    <w:basedOn w:val="Normal"/>
    <w:rsid w:val="008A1DE8"/>
    <w:pPr>
      <w:widowControl w:val="0"/>
      <w:wordWrap w:val="0"/>
      <w:autoSpaceDE w:val="0"/>
      <w:autoSpaceDN w:val="0"/>
      <w:spacing w:line="384" w:lineRule="auto"/>
      <w:jc w:val="both"/>
      <w:textAlignment w:val="baseline"/>
    </w:pPr>
    <w:rPr>
      <w:rFonts w:ascii="함초롬바탕" w:eastAsia="Gulim" w:hAnsi="Gulim" w:cs="Gulim"/>
      <w:color w:val="000000"/>
      <w:sz w:val="20"/>
      <w:szCs w:val="20"/>
      <w:lang w:val="en-US" w:eastAsia="ko-KR"/>
    </w:rPr>
  </w:style>
  <w:style w:type="character" w:styleId="UnresolvedMention">
    <w:name w:val="Unresolved Mention"/>
    <w:basedOn w:val="DefaultParagraphFont"/>
    <w:uiPriority w:val="99"/>
    <w:semiHidden/>
    <w:unhideWhenUsed/>
    <w:rsid w:val="00FF4D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4378901">
      <w:bodyDiv w:val="1"/>
      <w:marLeft w:val="0"/>
      <w:marRight w:val="0"/>
      <w:marTop w:val="0"/>
      <w:marBottom w:val="0"/>
      <w:divBdr>
        <w:top w:val="none" w:sz="0" w:space="0" w:color="auto"/>
        <w:left w:val="none" w:sz="0" w:space="0" w:color="auto"/>
        <w:bottom w:val="none" w:sz="0" w:space="0" w:color="auto"/>
        <w:right w:val="none" w:sz="0" w:space="0" w:color="auto"/>
      </w:divBdr>
    </w:div>
    <w:div w:id="684018633">
      <w:bodyDiv w:val="1"/>
      <w:marLeft w:val="0"/>
      <w:marRight w:val="0"/>
      <w:marTop w:val="0"/>
      <w:marBottom w:val="0"/>
      <w:divBdr>
        <w:top w:val="none" w:sz="0" w:space="0" w:color="auto"/>
        <w:left w:val="none" w:sz="0" w:space="0" w:color="auto"/>
        <w:bottom w:val="none" w:sz="0" w:space="0" w:color="auto"/>
        <w:right w:val="none" w:sz="0" w:space="0" w:color="auto"/>
      </w:divBdr>
    </w:div>
    <w:div w:id="860823360">
      <w:bodyDiv w:val="1"/>
      <w:marLeft w:val="0"/>
      <w:marRight w:val="0"/>
      <w:marTop w:val="0"/>
      <w:marBottom w:val="0"/>
      <w:divBdr>
        <w:top w:val="none" w:sz="0" w:space="0" w:color="auto"/>
        <w:left w:val="none" w:sz="0" w:space="0" w:color="auto"/>
        <w:bottom w:val="none" w:sz="0" w:space="0" w:color="auto"/>
        <w:right w:val="none" w:sz="0" w:space="0" w:color="auto"/>
      </w:divBdr>
    </w:div>
    <w:div w:id="1050224954">
      <w:bodyDiv w:val="1"/>
      <w:marLeft w:val="0"/>
      <w:marRight w:val="0"/>
      <w:marTop w:val="0"/>
      <w:marBottom w:val="0"/>
      <w:divBdr>
        <w:top w:val="none" w:sz="0" w:space="0" w:color="auto"/>
        <w:left w:val="none" w:sz="0" w:space="0" w:color="auto"/>
        <w:bottom w:val="none" w:sz="0" w:space="0" w:color="auto"/>
        <w:right w:val="none" w:sz="0" w:space="0" w:color="auto"/>
      </w:divBdr>
    </w:div>
    <w:div w:id="1059404347">
      <w:bodyDiv w:val="1"/>
      <w:marLeft w:val="0"/>
      <w:marRight w:val="0"/>
      <w:marTop w:val="0"/>
      <w:marBottom w:val="0"/>
      <w:divBdr>
        <w:top w:val="none" w:sz="0" w:space="0" w:color="auto"/>
        <w:left w:val="none" w:sz="0" w:space="0" w:color="auto"/>
        <w:bottom w:val="none" w:sz="0" w:space="0" w:color="auto"/>
        <w:right w:val="none" w:sz="0" w:space="0" w:color="auto"/>
      </w:divBdr>
    </w:div>
    <w:div w:id="1102071981">
      <w:bodyDiv w:val="1"/>
      <w:marLeft w:val="0"/>
      <w:marRight w:val="0"/>
      <w:marTop w:val="0"/>
      <w:marBottom w:val="0"/>
      <w:divBdr>
        <w:top w:val="none" w:sz="0" w:space="0" w:color="auto"/>
        <w:left w:val="none" w:sz="0" w:space="0" w:color="auto"/>
        <w:bottom w:val="none" w:sz="0" w:space="0" w:color="auto"/>
        <w:right w:val="none" w:sz="0" w:space="0" w:color="auto"/>
      </w:divBdr>
    </w:div>
    <w:div w:id="1118450905">
      <w:bodyDiv w:val="1"/>
      <w:marLeft w:val="0"/>
      <w:marRight w:val="0"/>
      <w:marTop w:val="0"/>
      <w:marBottom w:val="0"/>
      <w:divBdr>
        <w:top w:val="none" w:sz="0" w:space="0" w:color="auto"/>
        <w:left w:val="none" w:sz="0" w:space="0" w:color="auto"/>
        <w:bottom w:val="none" w:sz="0" w:space="0" w:color="auto"/>
        <w:right w:val="none" w:sz="0" w:space="0" w:color="auto"/>
      </w:divBdr>
    </w:div>
    <w:div w:id="1122698851">
      <w:bodyDiv w:val="1"/>
      <w:marLeft w:val="0"/>
      <w:marRight w:val="0"/>
      <w:marTop w:val="0"/>
      <w:marBottom w:val="0"/>
      <w:divBdr>
        <w:top w:val="none" w:sz="0" w:space="0" w:color="auto"/>
        <w:left w:val="none" w:sz="0" w:space="0" w:color="auto"/>
        <w:bottom w:val="none" w:sz="0" w:space="0" w:color="auto"/>
        <w:right w:val="none" w:sz="0" w:space="0" w:color="auto"/>
      </w:divBdr>
    </w:div>
    <w:div w:id="1258906842">
      <w:bodyDiv w:val="1"/>
      <w:marLeft w:val="0"/>
      <w:marRight w:val="0"/>
      <w:marTop w:val="0"/>
      <w:marBottom w:val="0"/>
      <w:divBdr>
        <w:top w:val="none" w:sz="0" w:space="0" w:color="auto"/>
        <w:left w:val="none" w:sz="0" w:space="0" w:color="auto"/>
        <w:bottom w:val="none" w:sz="0" w:space="0" w:color="auto"/>
        <w:right w:val="none" w:sz="0" w:space="0" w:color="auto"/>
      </w:divBdr>
    </w:div>
    <w:div w:id="1306156309">
      <w:bodyDiv w:val="1"/>
      <w:marLeft w:val="0"/>
      <w:marRight w:val="0"/>
      <w:marTop w:val="0"/>
      <w:marBottom w:val="0"/>
      <w:divBdr>
        <w:top w:val="none" w:sz="0" w:space="0" w:color="auto"/>
        <w:left w:val="none" w:sz="0" w:space="0" w:color="auto"/>
        <w:bottom w:val="none" w:sz="0" w:space="0" w:color="auto"/>
        <w:right w:val="none" w:sz="0" w:space="0" w:color="auto"/>
      </w:divBdr>
    </w:div>
    <w:div w:id="1351877842">
      <w:bodyDiv w:val="1"/>
      <w:marLeft w:val="0"/>
      <w:marRight w:val="0"/>
      <w:marTop w:val="0"/>
      <w:marBottom w:val="0"/>
      <w:divBdr>
        <w:top w:val="none" w:sz="0" w:space="0" w:color="auto"/>
        <w:left w:val="none" w:sz="0" w:space="0" w:color="auto"/>
        <w:bottom w:val="none" w:sz="0" w:space="0" w:color="auto"/>
        <w:right w:val="none" w:sz="0" w:space="0" w:color="auto"/>
      </w:divBdr>
    </w:div>
    <w:div w:id="1383285570">
      <w:bodyDiv w:val="1"/>
      <w:marLeft w:val="0"/>
      <w:marRight w:val="0"/>
      <w:marTop w:val="0"/>
      <w:marBottom w:val="0"/>
      <w:divBdr>
        <w:top w:val="none" w:sz="0" w:space="0" w:color="auto"/>
        <w:left w:val="none" w:sz="0" w:space="0" w:color="auto"/>
        <w:bottom w:val="none" w:sz="0" w:space="0" w:color="auto"/>
        <w:right w:val="none" w:sz="0" w:space="0" w:color="auto"/>
      </w:divBdr>
    </w:div>
    <w:div w:id="1737246137">
      <w:bodyDiv w:val="1"/>
      <w:marLeft w:val="0"/>
      <w:marRight w:val="0"/>
      <w:marTop w:val="0"/>
      <w:marBottom w:val="0"/>
      <w:divBdr>
        <w:top w:val="none" w:sz="0" w:space="0" w:color="auto"/>
        <w:left w:val="none" w:sz="0" w:space="0" w:color="auto"/>
        <w:bottom w:val="none" w:sz="0" w:space="0" w:color="auto"/>
        <w:right w:val="none" w:sz="0" w:space="0" w:color="auto"/>
      </w:divBdr>
    </w:div>
    <w:div w:id="1755131417">
      <w:bodyDiv w:val="1"/>
      <w:marLeft w:val="0"/>
      <w:marRight w:val="0"/>
      <w:marTop w:val="0"/>
      <w:marBottom w:val="0"/>
      <w:divBdr>
        <w:top w:val="none" w:sz="0" w:space="0" w:color="auto"/>
        <w:left w:val="none" w:sz="0" w:space="0" w:color="auto"/>
        <w:bottom w:val="none" w:sz="0" w:space="0" w:color="auto"/>
        <w:right w:val="none" w:sz="0" w:space="0" w:color="auto"/>
      </w:divBdr>
    </w:div>
    <w:div w:id="1764759774">
      <w:bodyDiv w:val="1"/>
      <w:marLeft w:val="0"/>
      <w:marRight w:val="0"/>
      <w:marTop w:val="0"/>
      <w:marBottom w:val="0"/>
      <w:divBdr>
        <w:top w:val="none" w:sz="0" w:space="0" w:color="auto"/>
        <w:left w:val="none" w:sz="0" w:space="0" w:color="auto"/>
        <w:bottom w:val="none" w:sz="0" w:space="0" w:color="auto"/>
        <w:right w:val="none" w:sz="0" w:space="0" w:color="auto"/>
      </w:divBdr>
    </w:div>
    <w:div w:id="1960986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microsoft.com/office/2011/relationships/commentsExtended" Target="commentsExtended.xml"/><Relationship Id="rId39" Type="http://schemas.openxmlformats.org/officeDocument/2006/relationships/theme" Target="theme/theme1.xml"/><Relationship Id="rId21" Type="http://schemas.openxmlformats.org/officeDocument/2006/relationships/header" Target="header7.xml"/><Relationship Id="rId34"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comments" Target="comments.xml"/><Relationship Id="rId33" Type="http://schemas.openxmlformats.org/officeDocument/2006/relationships/header" Target="header11.xml"/><Relationship Id="rId38" Type="http://schemas.microsoft.com/office/2011/relationships/people" Target="peop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yperlink" Target="https://www.iala.int/product/m0003/"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0.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microsoft.com/office/2018/08/relationships/commentsExtensible" Target="commentsExtensible.xml"/><Relationship Id="rId36" Type="http://schemas.openxmlformats.org/officeDocument/2006/relationships/footer" Target="footer7.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yperlink" Target="https://www.iala.int/product/m0003/"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microsoft.com/office/2016/09/relationships/commentsIds" Target="commentsIds.xml"/><Relationship Id="rId30" Type="http://schemas.openxmlformats.org/officeDocument/2006/relationships/hyperlink" Target="https://www.iala.int/product/r1005/" TargetMode="External"/><Relationship Id="rId35" Type="http://schemas.openxmlformats.org/officeDocument/2006/relationships/header" Target="header12.xml"/><Relationship Id="rId8" Type="http://schemas.openxmlformats.org/officeDocument/2006/relationships/webSettings" Target="webSettings.xml"/><Relationship Id="rId3" Type="http://schemas.openxmlformats.org/officeDocument/2006/relationships/customXml" Target="../customXml/item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_Documents\Download\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2.xml><?xml version="1.0" encoding="utf-8"?>
<ds:datastoreItem xmlns:ds="http://schemas.openxmlformats.org/officeDocument/2006/customXml" ds:itemID="{2FC98161-1956-4309-B4A8-416EB712774D}">
  <ds:schemaRefs>
    <ds:schemaRef ds:uri="http://schemas.openxmlformats.org/officeDocument/2006/bibliography"/>
  </ds:schemaRefs>
</ds:datastoreItem>
</file>

<file path=customXml/itemProps3.xml><?xml version="1.0" encoding="utf-8"?>
<ds:datastoreItem xmlns:ds="http://schemas.openxmlformats.org/officeDocument/2006/customXml" ds:itemID="{166F4853-5AFB-4C95-B7D5-17F65AEA5FEF}"/>
</file>

<file path=customXml/itemProps4.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Template>
  <TotalTime>11</TotalTime>
  <Pages>8</Pages>
  <Words>1513</Words>
  <Characters>8628</Characters>
  <Application>Microsoft Office Word</Application>
  <DocSecurity>0</DocSecurity>
  <Lines>71</Lines>
  <Paragraphs>20</Paragraphs>
  <ScaleCrop>false</ScaleCrop>
  <HeadingPairs>
    <vt:vector size="6" baseType="variant">
      <vt:variant>
        <vt:lpstr>Title</vt:lpstr>
      </vt:variant>
      <vt:variant>
        <vt:i4>1</vt:i4>
      </vt:variant>
      <vt:variant>
        <vt:lpstr>제목</vt:lpstr>
      </vt:variant>
      <vt:variant>
        <vt:i4>1</vt:i4>
      </vt:variant>
      <vt:variant>
        <vt:lpstr>Titre</vt:lpstr>
      </vt:variant>
      <vt:variant>
        <vt:i4>1</vt:i4>
      </vt:variant>
    </vt:vector>
  </HeadingPairs>
  <TitlesOfParts>
    <vt:vector size="3" baseType="lpstr">
      <vt:lpstr>IALA Guideline Macro Enabled Template</vt:lpstr>
      <vt:lpstr>IALA Guideline Macro Enabled Template</vt:lpstr>
      <vt:lpstr>IALA Guideline 1115</vt:lpstr>
    </vt:vector>
  </TitlesOfParts>
  <Manager>IALA</Manager>
  <Company>IALA</Company>
  <LinksUpToDate>false</LinksUpToDate>
  <CharactersWithSpaces>10121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Macro Enabled Template</dc:title>
  <dc:subject>IALA</dc:subject>
  <dc:creator>Omar Frits Eriksson</dc:creator>
  <cp:keywords/>
  <dc:description/>
  <cp:lastModifiedBy>Sarah-Jane Lakshman</cp:lastModifiedBy>
  <cp:revision>6</cp:revision>
  <cp:lastPrinted>2020-11-25T08:30:00Z</cp:lastPrinted>
  <dcterms:created xsi:type="dcterms:W3CDTF">2025-04-10T14:14:00Z</dcterms:created>
  <dcterms:modified xsi:type="dcterms:W3CDTF">2025-04-10T14:24:00Z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3135400</vt:r8>
  </property>
</Properties>
</file>